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eastAsia="仿宋"/>
          <w:b/>
          <w:color w:val="auto"/>
          <w:sz w:val="32"/>
          <w:szCs w:val="32"/>
          <w:highlight w:val="none"/>
        </w:rPr>
      </w:pPr>
      <w:r>
        <w:rPr>
          <w:rFonts w:hint="eastAsia" w:eastAsia="仿宋"/>
          <w:b/>
          <w:color w:val="auto"/>
          <w:sz w:val="32"/>
          <w:szCs w:val="32"/>
          <w:highlight w:val="none"/>
        </w:rPr>
        <w:t>机械</w:t>
      </w:r>
      <w:r>
        <w:rPr>
          <w:rFonts w:eastAsia="仿宋"/>
          <w:b/>
          <w:color w:val="auto"/>
          <w:sz w:val="32"/>
          <w:szCs w:val="32"/>
          <w:highlight w:val="none"/>
        </w:rPr>
        <w:t>工程学院奖励性绩效工资分配实施细则</w:t>
      </w:r>
    </w:p>
    <w:p>
      <w:pPr>
        <w:pStyle w:val="8"/>
        <w:jc w:val="center"/>
        <w:rPr>
          <w:rFonts w:hint="default" w:eastAsia="仿宋"/>
          <w:b/>
          <w:color w:val="auto"/>
          <w:sz w:val="28"/>
          <w:szCs w:val="28"/>
          <w:highlight w:val="none"/>
          <w:lang w:val="en-US" w:eastAsia="zh-CN"/>
        </w:rPr>
      </w:pPr>
      <w:r>
        <w:rPr>
          <w:rFonts w:hint="eastAsia" w:eastAsia="仿宋"/>
          <w:b/>
          <w:color w:val="auto"/>
          <w:sz w:val="28"/>
          <w:szCs w:val="28"/>
          <w:highlight w:val="none"/>
          <w:lang w:eastAsia="zh-CN"/>
        </w:rPr>
        <w:t>（</w:t>
      </w:r>
      <w:r>
        <w:rPr>
          <w:rFonts w:hint="eastAsia" w:eastAsia="仿宋"/>
          <w:b/>
          <w:color w:val="auto"/>
          <w:sz w:val="28"/>
          <w:szCs w:val="28"/>
          <w:highlight w:val="none"/>
          <w:lang w:val="en-US" w:eastAsia="zh-CN"/>
        </w:rPr>
        <w:t>20240123）</w:t>
      </w:r>
    </w:p>
    <w:p>
      <w:pPr>
        <w:pStyle w:val="8"/>
        <w:rPr>
          <w:rFonts w:hint="eastAsia" w:eastAsia="宋体"/>
          <w:b/>
          <w:color w:val="auto"/>
          <w:sz w:val="28"/>
          <w:szCs w:val="28"/>
          <w:highlight w:val="none"/>
          <w:lang w:eastAsia="zh-CN"/>
        </w:rPr>
      </w:pPr>
      <w:r>
        <w:rPr>
          <w:rFonts w:eastAsia="宋体"/>
          <w:b/>
          <w:color w:val="auto"/>
          <w:sz w:val="28"/>
          <w:szCs w:val="28"/>
          <w:highlight w:val="none"/>
        </w:rPr>
        <w:t>一、政策依据</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学院奖励性绩效工资分配工作，主要依据《南通大学岗位聘用工作实施办法》（通大人〔2019〕6 号）、《南通大学绩效工资实施办法》（通大人〔2019〕7号）、</w:t>
      </w:r>
      <w:r>
        <w:rPr>
          <w:rFonts w:hint="eastAsia" w:eastAsia="宋体"/>
          <w:color w:val="auto"/>
          <w:sz w:val="28"/>
          <w:szCs w:val="28"/>
          <w:highlight w:val="none"/>
        </w:rPr>
        <w:t xml:space="preserve">《南通大学 </w:t>
      </w:r>
      <w:r>
        <w:rPr>
          <w:rFonts w:hint="eastAsia" w:eastAsia="宋体"/>
          <w:color w:val="auto"/>
          <w:sz w:val="28"/>
          <w:szCs w:val="28"/>
          <w:highlight w:val="none"/>
          <w:lang w:val="en-US" w:eastAsia="zh-CN"/>
        </w:rPr>
        <w:t>2023</w:t>
      </w:r>
      <w:r>
        <w:rPr>
          <w:rFonts w:hint="eastAsia" w:eastAsia="宋体"/>
          <w:color w:val="auto"/>
          <w:sz w:val="28"/>
          <w:szCs w:val="28"/>
          <w:highlight w:val="none"/>
        </w:rPr>
        <w:t xml:space="preserve"> 年度</w:t>
      </w:r>
      <w:r>
        <w:rPr>
          <w:rFonts w:hint="eastAsia" w:eastAsia="宋体"/>
          <w:color w:val="auto"/>
          <w:sz w:val="28"/>
          <w:szCs w:val="28"/>
          <w:highlight w:val="none"/>
          <w:lang w:val="en-US" w:eastAsia="zh-CN"/>
        </w:rPr>
        <w:t>年终</w:t>
      </w:r>
      <w:r>
        <w:rPr>
          <w:rFonts w:hint="eastAsia" w:eastAsia="宋体"/>
          <w:color w:val="auto"/>
          <w:sz w:val="28"/>
          <w:szCs w:val="28"/>
          <w:highlight w:val="none"/>
        </w:rPr>
        <w:t>奖励性绩效</w:t>
      </w:r>
      <w:r>
        <w:rPr>
          <w:rFonts w:hint="eastAsia" w:eastAsia="宋体"/>
          <w:color w:val="auto"/>
          <w:sz w:val="28"/>
          <w:szCs w:val="28"/>
          <w:highlight w:val="none"/>
          <w:lang w:val="en-US" w:eastAsia="zh-CN"/>
        </w:rPr>
        <w:t>评价结算</w:t>
      </w:r>
      <w:r>
        <w:rPr>
          <w:rFonts w:hint="eastAsia" w:eastAsia="宋体"/>
          <w:color w:val="auto"/>
          <w:sz w:val="28"/>
          <w:szCs w:val="28"/>
          <w:highlight w:val="none"/>
        </w:rPr>
        <w:t>实施办法》</w:t>
      </w:r>
      <w:r>
        <w:rPr>
          <w:rFonts w:eastAsia="宋体"/>
          <w:color w:val="auto"/>
          <w:sz w:val="28"/>
          <w:szCs w:val="28"/>
          <w:highlight w:val="none"/>
        </w:rPr>
        <w:t>（通大〔</w:t>
      </w:r>
      <w:r>
        <w:rPr>
          <w:rFonts w:hint="eastAsia" w:eastAsia="宋体"/>
          <w:color w:val="auto"/>
          <w:sz w:val="28"/>
          <w:szCs w:val="28"/>
          <w:highlight w:val="none"/>
          <w:lang w:val="en-US" w:eastAsia="zh-CN"/>
        </w:rPr>
        <w:t>2024</w:t>
      </w:r>
      <w:r>
        <w:rPr>
          <w:rFonts w:eastAsia="宋体"/>
          <w:color w:val="auto"/>
          <w:sz w:val="28"/>
          <w:szCs w:val="28"/>
          <w:highlight w:val="none"/>
        </w:rPr>
        <w:t>〕</w:t>
      </w:r>
      <w:r>
        <w:rPr>
          <w:rFonts w:hint="eastAsia" w:eastAsia="宋体"/>
          <w:color w:val="auto"/>
          <w:sz w:val="28"/>
          <w:szCs w:val="28"/>
          <w:highlight w:val="none"/>
          <w:lang w:val="en-US" w:eastAsia="zh-CN"/>
        </w:rPr>
        <w:t>4</w:t>
      </w:r>
      <w:r>
        <w:rPr>
          <w:rFonts w:eastAsia="宋体"/>
          <w:color w:val="auto"/>
          <w:sz w:val="28"/>
          <w:szCs w:val="28"/>
          <w:highlight w:val="none"/>
        </w:rPr>
        <w:t>号）</w:t>
      </w:r>
      <w:r>
        <w:rPr>
          <w:rFonts w:hint="eastAsia" w:eastAsia="宋体"/>
          <w:color w:val="auto"/>
          <w:sz w:val="28"/>
          <w:szCs w:val="28"/>
          <w:highlight w:val="none"/>
        </w:rPr>
        <w:t>及</w:t>
      </w:r>
      <w:r>
        <w:rPr>
          <w:rFonts w:hint="eastAsia" w:eastAsia="宋体"/>
          <w:color w:val="auto"/>
          <w:sz w:val="28"/>
          <w:szCs w:val="28"/>
          <w:highlight w:val="none"/>
          <w:lang w:val="en-US" w:eastAsia="zh-CN"/>
        </w:rPr>
        <w:t>学院</w:t>
      </w:r>
      <w:r>
        <w:rPr>
          <w:rFonts w:hint="eastAsia" w:eastAsia="宋体"/>
          <w:color w:val="auto"/>
          <w:sz w:val="28"/>
          <w:szCs w:val="28"/>
          <w:highlight w:val="none"/>
        </w:rPr>
        <w:t>教学工作量、教学科研业绩分核算等绩效工资分配系列配套文件</w:t>
      </w:r>
      <w:r>
        <w:rPr>
          <w:rFonts w:eastAsia="宋体"/>
          <w:color w:val="auto"/>
          <w:sz w:val="28"/>
          <w:szCs w:val="28"/>
          <w:highlight w:val="none"/>
        </w:rPr>
        <w:t>等相关文件精神执行</w:t>
      </w:r>
      <w:r>
        <w:rPr>
          <w:rFonts w:hint="eastAsia" w:eastAsia="宋体"/>
          <w:color w:val="auto"/>
          <w:sz w:val="28"/>
          <w:szCs w:val="28"/>
          <w:highlight w:val="none"/>
        </w:rPr>
        <w:t>。</w:t>
      </w:r>
    </w:p>
    <w:p>
      <w:pPr>
        <w:pStyle w:val="8"/>
        <w:ind w:firstLine="560" w:firstLineChars="200"/>
        <w:jc w:val="both"/>
        <w:rPr>
          <w:rFonts w:eastAsia="宋体"/>
          <w:color w:val="auto"/>
          <w:sz w:val="28"/>
          <w:szCs w:val="28"/>
          <w:highlight w:val="none"/>
        </w:rPr>
      </w:pPr>
    </w:p>
    <w:p>
      <w:pPr>
        <w:pStyle w:val="8"/>
        <w:rPr>
          <w:rFonts w:eastAsia="宋体"/>
          <w:b/>
          <w:color w:val="auto"/>
          <w:sz w:val="28"/>
          <w:szCs w:val="28"/>
          <w:highlight w:val="none"/>
        </w:rPr>
      </w:pPr>
      <w:r>
        <w:rPr>
          <w:rFonts w:eastAsia="宋体"/>
          <w:b/>
          <w:color w:val="auto"/>
          <w:sz w:val="28"/>
          <w:szCs w:val="28"/>
          <w:highlight w:val="none"/>
        </w:rPr>
        <w:t>二、组织机构</w:t>
      </w:r>
    </w:p>
    <w:p>
      <w:pPr>
        <w:pStyle w:val="8"/>
        <w:ind w:firstLine="560" w:firstLineChars="200"/>
        <w:rPr>
          <w:rFonts w:eastAsia="宋体"/>
          <w:color w:val="auto"/>
          <w:sz w:val="28"/>
          <w:szCs w:val="28"/>
          <w:highlight w:val="none"/>
        </w:rPr>
      </w:pPr>
      <w:r>
        <w:rPr>
          <w:rFonts w:eastAsia="宋体"/>
          <w:color w:val="auto"/>
          <w:sz w:val="28"/>
          <w:szCs w:val="28"/>
          <w:highlight w:val="none"/>
        </w:rPr>
        <w:t>学院成立绩效工资实施工作小组，负责组织实施年终绩效工资分配工作。具体分配工作由学院办公室负责实施。</w:t>
      </w:r>
    </w:p>
    <w:p>
      <w:pPr>
        <w:pStyle w:val="8"/>
        <w:ind w:firstLine="560" w:firstLineChars="200"/>
        <w:rPr>
          <w:rFonts w:eastAsia="宋体"/>
          <w:color w:val="auto"/>
          <w:sz w:val="28"/>
          <w:szCs w:val="28"/>
          <w:highlight w:val="none"/>
        </w:rPr>
      </w:pPr>
    </w:p>
    <w:p>
      <w:pPr>
        <w:pStyle w:val="8"/>
        <w:rPr>
          <w:rFonts w:eastAsia="宋体"/>
          <w:b/>
          <w:color w:val="auto"/>
          <w:sz w:val="28"/>
          <w:szCs w:val="28"/>
          <w:highlight w:val="none"/>
        </w:rPr>
      </w:pPr>
      <w:r>
        <w:rPr>
          <w:rFonts w:eastAsia="宋体"/>
          <w:b/>
          <w:color w:val="auto"/>
          <w:sz w:val="28"/>
          <w:szCs w:val="28"/>
          <w:highlight w:val="none"/>
        </w:rPr>
        <w:t>三、经费来源及分配原则、依据和对象</w:t>
      </w:r>
    </w:p>
    <w:p>
      <w:pPr>
        <w:pStyle w:val="8"/>
        <w:ind w:firstLine="560" w:firstLineChars="200"/>
        <w:rPr>
          <w:rFonts w:eastAsia="宋体"/>
          <w:color w:val="auto"/>
          <w:sz w:val="28"/>
          <w:szCs w:val="28"/>
          <w:highlight w:val="none"/>
        </w:rPr>
      </w:pPr>
      <w:r>
        <w:rPr>
          <w:rFonts w:eastAsia="宋体"/>
          <w:color w:val="auto"/>
          <w:sz w:val="28"/>
          <w:szCs w:val="28"/>
          <w:highlight w:val="none"/>
        </w:rPr>
        <w:t>学院奖励性绩效工资包括年度岗位奖励津贴、年度业绩奖励津贴、成果类专项奖励津贴和其他专项奖励津贴经费等</w:t>
      </w:r>
      <w:r>
        <w:rPr>
          <w:rFonts w:hint="eastAsia" w:eastAsia="宋体"/>
          <w:color w:val="auto"/>
          <w:sz w:val="28"/>
          <w:szCs w:val="28"/>
          <w:highlight w:val="none"/>
          <w:lang w:eastAsia="zh-CN"/>
        </w:rPr>
        <w:t>，</w:t>
      </w:r>
      <w:r>
        <w:rPr>
          <w:rFonts w:hint="eastAsia" w:eastAsia="宋体"/>
          <w:color w:val="auto"/>
          <w:sz w:val="28"/>
          <w:szCs w:val="28"/>
          <w:highlight w:val="none"/>
          <w:lang w:val="en-US" w:eastAsia="zh-CN"/>
        </w:rPr>
        <w:t>各项津贴由学院统筹分配</w:t>
      </w:r>
      <w:r>
        <w:rPr>
          <w:rFonts w:eastAsia="宋体"/>
          <w:color w:val="auto"/>
          <w:sz w:val="28"/>
          <w:szCs w:val="28"/>
          <w:highlight w:val="none"/>
        </w:rPr>
        <w:t>。</w:t>
      </w:r>
    </w:p>
    <w:p>
      <w:pPr>
        <w:pStyle w:val="8"/>
        <w:ind w:firstLine="562" w:firstLineChars="200"/>
        <w:rPr>
          <w:rFonts w:eastAsia="宋体"/>
          <w:b/>
          <w:color w:val="auto"/>
          <w:sz w:val="28"/>
          <w:szCs w:val="28"/>
          <w:highlight w:val="none"/>
        </w:rPr>
      </w:pPr>
      <w:r>
        <w:rPr>
          <w:rFonts w:eastAsia="宋体"/>
          <w:b/>
          <w:color w:val="auto"/>
          <w:sz w:val="28"/>
          <w:szCs w:val="28"/>
          <w:highlight w:val="none"/>
        </w:rPr>
        <w:t>1. 经费来源</w:t>
      </w:r>
    </w:p>
    <w:p>
      <w:pPr>
        <w:pStyle w:val="8"/>
        <w:ind w:firstLine="560" w:firstLineChars="200"/>
        <w:rPr>
          <w:rFonts w:eastAsia="宋体"/>
          <w:color w:val="auto"/>
          <w:sz w:val="28"/>
          <w:szCs w:val="28"/>
          <w:highlight w:val="none"/>
        </w:rPr>
      </w:pPr>
      <w:r>
        <w:rPr>
          <w:rFonts w:eastAsia="宋体"/>
          <w:color w:val="auto"/>
          <w:sz w:val="28"/>
          <w:szCs w:val="28"/>
          <w:highlight w:val="none"/>
        </w:rPr>
        <w:t>学院奖励性绩效工资经费来源于学校下拨的年度奖励性绩效工资经费与学院创收用于当年分配的经费。</w:t>
      </w:r>
    </w:p>
    <w:p>
      <w:pPr>
        <w:pStyle w:val="8"/>
        <w:ind w:firstLine="562" w:firstLineChars="200"/>
        <w:rPr>
          <w:rFonts w:eastAsia="宋体"/>
          <w:b/>
          <w:color w:val="auto"/>
          <w:sz w:val="28"/>
          <w:szCs w:val="28"/>
          <w:highlight w:val="none"/>
        </w:rPr>
      </w:pPr>
      <w:r>
        <w:rPr>
          <w:b/>
          <w:color w:val="auto"/>
          <w:sz w:val="28"/>
          <w:szCs w:val="28"/>
          <w:highlight w:val="none"/>
        </w:rPr>
        <w:t xml:space="preserve">2. </w:t>
      </w:r>
      <w:r>
        <w:rPr>
          <w:rFonts w:eastAsia="宋体"/>
          <w:b/>
          <w:color w:val="auto"/>
          <w:sz w:val="28"/>
          <w:szCs w:val="28"/>
          <w:highlight w:val="none"/>
        </w:rPr>
        <w:t>分配原则</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根据学校目标管理的任务分解和学院教学、科研、管理和公共服务等工作需要，充分发挥绩效工资分配政策的激励导向和杠杆调节作用，体现“岗绩结合、按劳分配、多劳多得、优绩优酬”，兼顾不同类别人员岗位的工作特点，调动广大教职工的积极性和创造性。</w:t>
      </w:r>
    </w:p>
    <w:p>
      <w:pPr>
        <w:pStyle w:val="8"/>
        <w:ind w:firstLine="562" w:firstLineChars="200"/>
        <w:rPr>
          <w:rFonts w:eastAsia="宋体"/>
          <w:b/>
          <w:color w:val="auto"/>
          <w:sz w:val="28"/>
          <w:szCs w:val="28"/>
          <w:highlight w:val="none"/>
        </w:rPr>
      </w:pPr>
      <w:r>
        <w:rPr>
          <w:rFonts w:eastAsia="宋体"/>
          <w:b/>
          <w:color w:val="auto"/>
          <w:sz w:val="28"/>
          <w:szCs w:val="28"/>
          <w:highlight w:val="none"/>
        </w:rPr>
        <w:t>3. 分配依据</w:t>
      </w:r>
    </w:p>
    <w:p>
      <w:pPr>
        <w:pStyle w:val="8"/>
        <w:ind w:firstLine="560" w:firstLineChars="200"/>
        <w:rPr>
          <w:rFonts w:eastAsia="宋体"/>
          <w:color w:val="auto"/>
          <w:sz w:val="28"/>
          <w:szCs w:val="28"/>
          <w:highlight w:val="none"/>
        </w:rPr>
      </w:pPr>
      <w:r>
        <w:rPr>
          <w:rFonts w:eastAsia="宋体"/>
          <w:color w:val="auto"/>
          <w:sz w:val="28"/>
          <w:szCs w:val="28"/>
          <w:highlight w:val="none"/>
        </w:rPr>
        <w:t>学院奖励性绩效工资根据个人完成岗位工作任务情况发放，其中：</w:t>
      </w:r>
      <w:r>
        <w:rPr>
          <w:rFonts w:hint="eastAsia" w:eastAsia="宋体"/>
          <w:color w:val="auto"/>
          <w:sz w:val="28"/>
          <w:szCs w:val="28"/>
          <w:highlight w:val="none"/>
        </w:rPr>
        <w:t>专业技术</w:t>
      </w:r>
      <w:r>
        <w:rPr>
          <w:rFonts w:eastAsia="宋体"/>
          <w:color w:val="auto"/>
          <w:sz w:val="28"/>
          <w:szCs w:val="28"/>
          <w:highlight w:val="none"/>
        </w:rPr>
        <w:t>人员</w:t>
      </w:r>
      <w:r>
        <w:rPr>
          <w:rFonts w:hint="eastAsia" w:eastAsia="宋体"/>
          <w:color w:val="auto"/>
          <w:sz w:val="28"/>
          <w:szCs w:val="28"/>
          <w:highlight w:val="none"/>
        </w:rPr>
        <w:t>（含专任教师、实验技术人员）</w:t>
      </w:r>
      <w:r>
        <w:rPr>
          <w:rFonts w:eastAsia="宋体"/>
          <w:color w:val="auto"/>
          <w:sz w:val="28"/>
          <w:szCs w:val="28"/>
          <w:highlight w:val="none"/>
        </w:rPr>
        <w:t>的工作考核包括教学、科研和公共服务等内容；</w:t>
      </w:r>
      <w:r>
        <w:rPr>
          <w:rFonts w:hint="eastAsia" w:eastAsia="宋体"/>
          <w:color w:val="auto"/>
          <w:sz w:val="28"/>
          <w:szCs w:val="28"/>
          <w:highlight w:val="none"/>
        </w:rPr>
        <w:t>党政管理</w:t>
      </w:r>
      <w:r>
        <w:rPr>
          <w:rFonts w:eastAsia="宋体"/>
          <w:color w:val="auto"/>
          <w:sz w:val="28"/>
          <w:szCs w:val="28"/>
          <w:highlight w:val="none"/>
        </w:rPr>
        <w:t>人员的工作考核主要包括在岗出勤、履行职责以及完成工作任务等内容。</w:t>
      </w:r>
    </w:p>
    <w:p>
      <w:pPr>
        <w:pStyle w:val="8"/>
        <w:ind w:firstLine="562" w:firstLineChars="200"/>
        <w:rPr>
          <w:rFonts w:eastAsia="宋体"/>
          <w:b/>
          <w:color w:val="auto"/>
          <w:sz w:val="28"/>
          <w:szCs w:val="28"/>
          <w:highlight w:val="none"/>
        </w:rPr>
      </w:pPr>
      <w:r>
        <w:rPr>
          <w:rFonts w:eastAsia="宋体"/>
          <w:b/>
          <w:color w:val="auto"/>
          <w:sz w:val="28"/>
          <w:szCs w:val="28"/>
          <w:highlight w:val="none"/>
        </w:rPr>
        <w:t>4. 分配对象</w:t>
      </w:r>
    </w:p>
    <w:p>
      <w:pPr>
        <w:pStyle w:val="8"/>
        <w:ind w:firstLine="560" w:firstLineChars="200"/>
        <w:rPr>
          <w:rFonts w:eastAsia="宋体"/>
          <w:color w:val="auto"/>
          <w:sz w:val="28"/>
          <w:szCs w:val="28"/>
          <w:highlight w:val="none"/>
        </w:rPr>
      </w:pPr>
      <w:r>
        <w:rPr>
          <w:rFonts w:eastAsia="宋体"/>
          <w:color w:val="auto"/>
          <w:sz w:val="28"/>
          <w:szCs w:val="28"/>
          <w:highlight w:val="none"/>
        </w:rPr>
        <w:t>学院所有在编在岗人员和外单位兼职承担本院教学工作、以本院为第一单位获得的科研项目和科研成果，以及为本院师生公共服务做出过特别贡献的兼职人员。</w:t>
      </w:r>
    </w:p>
    <w:p>
      <w:pPr>
        <w:pStyle w:val="8"/>
        <w:rPr>
          <w:rFonts w:eastAsia="宋体"/>
          <w:color w:val="auto"/>
          <w:sz w:val="28"/>
          <w:szCs w:val="28"/>
          <w:highlight w:val="none"/>
        </w:rPr>
      </w:pPr>
    </w:p>
    <w:p>
      <w:pPr>
        <w:pStyle w:val="8"/>
        <w:rPr>
          <w:rFonts w:eastAsia="宋体"/>
          <w:b/>
          <w:color w:val="auto"/>
          <w:sz w:val="28"/>
          <w:szCs w:val="28"/>
          <w:highlight w:val="none"/>
        </w:rPr>
      </w:pPr>
      <w:r>
        <w:rPr>
          <w:rFonts w:eastAsia="宋体"/>
          <w:b/>
          <w:color w:val="auto"/>
          <w:sz w:val="28"/>
          <w:szCs w:val="28"/>
          <w:highlight w:val="none"/>
        </w:rPr>
        <w:t>四、具体考核分配方法</w:t>
      </w:r>
    </w:p>
    <w:p>
      <w:pPr>
        <w:pStyle w:val="8"/>
        <w:ind w:firstLine="562" w:firstLineChars="200"/>
        <w:rPr>
          <w:rFonts w:eastAsia="宋体"/>
          <w:b/>
          <w:color w:val="auto"/>
          <w:sz w:val="28"/>
          <w:szCs w:val="28"/>
          <w:highlight w:val="none"/>
        </w:rPr>
      </w:pPr>
      <w:r>
        <w:rPr>
          <w:rFonts w:eastAsia="宋体"/>
          <w:b/>
          <w:color w:val="auto"/>
          <w:sz w:val="28"/>
          <w:szCs w:val="28"/>
          <w:highlight w:val="none"/>
        </w:rPr>
        <w:t>1. 岗位考核与岗位奖励津贴分配</w:t>
      </w:r>
    </w:p>
    <w:p>
      <w:pPr>
        <w:pStyle w:val="8"/>
        <w:ind w:firstLine="560" w:firstLineChars="200"/>
        <w:rPr>
          <w:rFonts w:eastAsia="宋体"/>
          <w:color w:val="auto"/>
          <w:sz w:val="28"/>
          <w:szCs w:val="28"/>
          <w:highlight w:val="none"/>
        </w:rPr>
      </w:pPr>
      <w:r>
        <w:rPr>
          <w:rFonts w:eastAsia="宋体"/>
          <w:color w:val="auto"/>
          <w:sz w:val="28"/>
          <w:szCs w:val="28"/>
          <w:highlight w:val="none"/>
        </w:rPr>
        <w:t>岗位奖励津贴是对较好地履行岗位职责、完成本岗位基本工作任务的在岗工作人员的一种奖励。学院依据个人岗位考核情况分配岗位奖励津贴。</w:t>
      </w:r>
    </w:p>
    <w:p>
      <w:pPr>
        <w:pStyle w:val="8"/>
        <w:ind w:firstLine="560" w:firstLineChars="200"/>
        <w:rPr>
          <w:rFonts w:eastAsia="宋体"/>
          <w:color w:val="auto"/>
          <w:sz w:val="28"/>
          <w:szCs w:val="28"/>
          <w:highlight w:val="none"/>
        </w:rPr>
      </w:pPr>
      <w:r>
        <w:rPr>
          <w:rFonts w:eastAsia="宋体"/>
          <w:color w:val="auto"/>
          <w:sz w:val="28"/>
          <w:szCs w:val="28"/>
          <w:highlight w:val="none"/>
        </w:rPr>
        <w:t>学院教职工的岗位档级依据学校核定的年度岗位档级执行。晋升高一级职称的教师系列岗位按照学校发文时间分两个阶段计算，晋升后岗位档级一般认定为所获晋升职称的最低档级，获得低职高聘的岗位档级按照学校核定的档级执行。</w:t>
      </w:r>
    </w:p>
    <w:p>
      <w:pPr>
        <w:pStyle w:val="8"/>
        <w:ind w:firstLine="560" w:firstLineChars="200"/>
        <w:rPr>
          <w:rFonts w:eastAsia="宋体"/>
          <w:color w:val="auto"/>
          <w:sz w:val="28"/>
          <w:szCs w:val="28"/>
          <w:highlight w:val="none"/>
        </w:rPr>
      </w:pPr>
      <w:r>
        <w:rPr>
          <w:rFonts w:eastAsia="宋体"/>
          <w:color w:val="auto"/>
          <w:sz w:val="28"/>
          <w:szCs w:val="28"/>
          <w:highlight w:val="none"/>
        </w:rPr>
        <w:t>岗位奖励津贴依据各类人员岗位档级津贴标准和完成相应岗位的工作</w:t>
      </w:r>
      <w:r>
        <w:rPr>
          <w:rFonts w:hint="eastAsia" w:eastAsia="宋体"/>
          <w:color w:val="auto"/>
          <w:sz w:val="28"/>
          <w:szCs w:val="28"/>
          <w:highlight w:val="none"/>
        </w:rPr>
        <w:t>任务情况</w:t>
      </w:r>
      <w:r>
        <w:rPr>
          <w:rFonts w:eastAsia="宋体"/>
          <w:color w:val="auto"/>
          <w:sz w:val="28"/>
          <w:szCs w:val="28"/>
          <w:highlight w:val="none"/>
        </w:rPr>
        <w:t>进行补发或扣发。</w:t>
      </w:r>
    </w:p>
    <w:p>
      <w:pPr>
        <w:pStyle w:val="8"/>
        <w:ind w:firstLine="560" w:firstLineChars="200"/>
        <w:rPr>
          <w:rFonts w:eastAsia="宋体"/>
          <w:color w:val="auto"/>
          <w:sz w:val="28"/>
          <w:szCs w:val="28"/>
          <w:highlight w:val="none"/>
        </w:rPr>
      </w:pPr>
      <w:r>
        <w:rPr>
          <w:rFonts w:eastAsia="宋体"/>
          <w:color w:val="auto"/>
          <w:sz w:val="28"/>
          <w:szCs w:val="28"/>
          <w:highlight w:val="none"/>
        </w:rPr>
        <w:t>学院教职工按照</w:t>
      </w:r>
      <w:r>
        <w:rPr>
          <w:rFonts w:hint="eastAsia" w:eastAsia="宋体"/>
          <w:color w:val="auto"/>
          <w:sz w:val="28"/>
          <w:szCs w:val="28"/>
          <w:highlight w:val="none"/>
        </w:rPr>
        <w:t>专业技术人员（含专任教师、实验技术人员）和</w:t>
      </w:r>
      <w:r>
        <w:rPr>
          <w:rFonts w:eastAsia="宋体"/>
          <w:color w:val="auto"/>
          <w:sz w:val="28"/>
          <w:szCs w:val="28"/>
          <w:highlight w:val="none"/>
        </w:rPr>
        <w:t>党政管理</w:t>
      </w:r>
      <w:r>
        <w:rPr>
          <w:rFonts w:hint="eastAsia" w:eastAsia="宋体"/>
          <w:color w:val="auto"/>
          <w:sz w:val="28"/>
          <w:szCs w:val="28"/>
          <w:highlight w:val="none"/>
        </w:rPr>
        <w:t>人员分类</w:t>
      </w:r>
      <w:r>
        <w:rPr>
          <w:rFonts w:eastAsia="宋体"/>
          <w:color w:val="auto"/>
          <w:sz w:val="28"/>
          <w:szCs w:val="28"/>
          <w:highlight w:val="none"/>
        </w:rPr>
        <w:t>进行岗位考核。各类人员缺编，学校如果核发相关的缺编费，学院相应发放给相关类别人员缺编津贴。</w:t>
      </w:r>
    </w:p>
    <w:p>
      <w:pPr>
        <w:pStyle w:val="8"/>
        <w:ind w:firstLine="562" w:firstLineChars="200"/>
        <w:rPr>
          <w:rFonts w:eastAsia="宋体"/>
          <w:b/>
          <w:bCs/>
          <w:color w:val="auto"/>
          <w:sz w:val="28"/>
          <w:szCs w:val="28"/>
          <w:highlight w:val="none"/>
        </w:rPr>
      </w:pPr>
      <w:r>
        <w:rPr>
          <w:rFonts w:hint="eastAsia" w:eastAsia="宋体"/>
          <w:b/>
          <w:bCs/>
          <w:color w:val="auto"/>
          <w:sz w:val="28"/>
          <w:szCs w:val="28"/>
          <w:highlight w:val="none"/>
        </w:rPr>
        <w:t>（1）专业技术人员</w:t>
      </w:r>
    </w:p>
    <w:p>
      <w:pPr>
        <w:pStyle w:val="8"/>
        <w:numPr>
          <w:ilvl w:val="0"/>
          <w:numId w:val="1"/>
        </w:numPr>
        <w:ind w:firstLine="562" w:firstLineChars="200"/>
        <w:rPr>
          <w:rFonts w:eastAsia="宋体"/>
          <w:b/>
          <w:bCs/>
          <w:color w:val="auto"/>
          <w:sz w:val="28"/>
          <w:szCs w:val="28"/>
          <w:highlight w:val="none"/>
        </w:rPr>
      </w:pPr>
      <w:r>
        <w:rPr>
          <w:rFonts w:hint="eastAsia" w:eastAsia="宋体"/>
          <w:b/>
          <w:bCs/>
          <w:color w:val="auto"/>
          <w:sz w:val="28"/>
          <w:szCs w:val="28"/>
          <w:highlight w:val="none"/>
        </w:rPr>
        <w:t>专任教师</w:t>
      </w:r>
    </w:p>
    <w:p>
      <w:pPr>
        <w:pStyle w:val="8"/>
        <w:ind w:firstLine="560" w:firstLineChars="200"/>
        <w:rPr>
          <w:rFonts w:eastAsia="宋体"/>
          <w:color w:val="auto"/>
          <w:sz w:val="28"/>
          <w:szCs w:val="28"/>
          <w:highlight w:val="none"/>
        </w:rPr>
      </w:pPr>
      <w:r>
        <w:rPr>
          <w:rFonts w:eastAsia="宋体"/>
          <w:color w:val="auto"/>
          <w:sz w:val="28"/>
          <w:szCs w:val="28"/>
          <w:highlight w:val="none"/>
        </w:rPr>
        <w:t>教学科研岗位年度基本工作任务标准参见附件1。</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其中，教学工作量计量标准</w:t>
      </w:r>
      <w:r>
        <w:rPr>
          <w:rFonts w:eastAsia="宋体"/>
          <w:i/>
          <w:iCs/>
          <w:color w:val="auto"/>
          <w:sz w:val="28"/>
          <w:szCs w:val="28"/>
          <w:highlight w:val="none"/>
        </w:rPr>
        <w:t>G</w:t>
      </w:r>
      <w:r>
        <w:rPr>
          <w:rFonts w:eastAsia="宋体"/>
          <w:color w:val="auto"/>
          <w:sz w:val="28"/>
          <w:szCs w:val="28"/>
          <w:highlight w:val="none"/>
          <w:vertAlign w:val="subscript"/>
        </w:rPr>
        <w:t>教标</w:t>
      </w:r>
      <w:r>
        <w:rPr>
          <w:rFonts w:eastAsia="宋体"/>
          <w:color w:val="auto"/>
          <w:sz w:val="28"/>
          <w:szCs w:val="28"/>
          <w:highlight w:val="none"/>
        </w:rPr>
        <w:t>=K</w:t>
      </w:r>
      <w:r>
        <w:rPr>
          <w:rFonts w:eastAsia="宋体"/>
          <w:color w:val="auto"/>
          <w:sz w:val="28"/>
          <w:szCs w:val="28"/>
          <w:highlight w:val="none"/>
          <w:vertAlign w:val="subscript"/>
        </w:rPr>
        <w:t>1</w:t>
      </w:r>
      <w:r>
        <w:rPr>
          <w:rFonts w:eastAsia="宋体"/>
          <w:color w:val="auto"/>
          <w:sz w:val="28"/>
          <w:szCs w:val="28"/>
          <w:highlight w:val="none"/>
        </w:rPr>
        <w:t>×</w:t>
      </w:r>
      <w:r>
        <w:rPr>
          <w:rFonts w:ascii="Cambria Math" w:hAnsi="Cambria Math" w:eastAsia="Arial Unicode MS" w:cs="Cambria Math"/>
          <w:color w:val="auto"/>
          <w:sz w:val="28"/>
          <w:szCs w:val="28"/>
          <w:highlight w:val="none"/>
        </w:rPr>
        <w:t>⌊</w:t>
      </w:r>
      <w:r>
        <w:rPr>
          <w:rFonts w:eastAsia="宋体"/>
          <w:color w:val="auto"/>
          <w:sz w:val="28"/>
          <w:szCs w:val="28"/>
          <w:highlight w:val="none"/>
        </w:rPr>
        <w:t>学院教学总工作量/学院在岗专任教师数</w:t>
      </w:r>
      <w:r>
        <w:rPr>
          <w:rFonts w:ascii="Cambria Math" w:hAnsi="Cambria Math" w:eastAsia="Arial Unicode MS" w:cs="Cambria Math"/>
          <w:color w:val="auto"/>
          <w:sz w:val="28"/>
          <w:szCs w:val="28"/>
          <w:highlight w:val="none"/>
        </w:rPr>
        <w:t>⌋</w:t>
      </w:r>
      <w:r>
        <w:rPr>
          <w:rFonts w:eastAsia="宋体"/>
          <w:color w:val="auto"/>
          <w:sz w:val="28"/>
          <w:szCs w:val="28"/>
          <w:highlight w:val="none"/>
        </w:rPr>
        <w:t>，教学科研业绩分计量标准</w:t>
      </w:r>
      <w:r>
        <w:rPr>
          <w:rFonts w:eastAsia="宋体"/>
          <w:i/>
          <w:iCs/>
          <w:color w:val="auto"/>
          <w:sz w:val="28"/>
          <w:szCs w:val="28"/>
          <w:highlight w:val="none"/>
        </w:rPr>
        <w:t>G</w:t>
      </w:r>
      <w:r>
        <w:rPr>
          <w:rFonts w:eastAsia="宋体"/>
          <w:color w:val="auto"/>
          <w:sz w:val="28"/>
          <w:szCs w:val="28"/>
          <w:highlight w:val="none"/>
          <w:vertAlign w:val="subscript"/>
        </w:rPr>
        <w:t>研标</w:t>
      </w:r>
      <w:r>
        <w:rPr>
          <w:rFonts w:eastAsia="宋体"/>
          <w:color w:val="auto"/>
          <w:sz w:val="28"/>
          <w:szCs w:val="28"/>
          <w:highlight w:val="none"/>
        </w:rPr>
        <w:t>=K</w:t>
      </w:r>
      <w:r>
        <w:rPr>
          <w:rFonts w:eastAsia="宋体"/>
          <w:color w:val="auto"/>
          <w:sz w:val="28"/>
          <w:szCs w:val="28"/>
          <w:highlight w:val="none"/>
          <w:vertAlign w:val="subscript"/>
        </w:rPr>
        <w:t>2</w:t>
      </w:r>
      <w:r>
        <w:rPr>
          <w:rFonts w:eastAsia="宋体"/>
          <w:color w:val="auto"/>
          <w:sz w:val="28"/>
          <w:szCs w:val="28"/>
          <w:highlight w:val="none"/>
        </w:rPr>
        <w:t>×</w:t>
      </w:r>
      <w:r>
        <w:rPr>
          <w:rFonts w:ascii="Cambria Math" w:hAnsi="Cambria Math" w:eastAsia="Arial Unicode MS" w:cs="Cambria Math"/>
          <w:color w:val="auto"/>
          <w:sz w:val="28"/>
          <w:szCs w:val="28"/>
          <w:highlight w:val="none"/>
        </w:rPr>
        <w:t>⌊</w:t>
      </w:r>
      <w:r>
        <w:rPr>
          <w:rFonts w:eastAsia="宋体"/>
          <w:color w:val="auto"/>
          <w:sz w:val="28"/>
          <w:szCs w:val="28"/>
          <w:highlight w:val="none"/>
        </w:rPr>
        <w:t>学院教学科研业绩分总量/学院在岗专任教师</w:t>
      </w:r>
      <w:r>
        <w:rPr>
          <w:rFonts w:hint="eastAsia" w:eastAsia="宋体"/>
          <w:color w:val="auto"/>
          <w:sz w:val="28"/>
          <w:szCs w:val="28"/>
          <w:highlight w:val="none"/>
        </w:rPr>
        <w:t>的</w:t>
      </w:r>
      <w:r>
        <w:rPr>
          <w:rFonts w:eastAsia="宋体"/>
          <w:color w:val="auto"/>
          <w:sz w:val="28"/>
          <w:szCs w:val="28"/>
          <w:highlight w:val="none"/>
        </w:rPr>
        <w:t>岗位</w:t>
      </w:r>
      <w:r>
        <w:rPr>
          <w:rFonts w:hint="eastAsia" w:eastAsia="宋体"/>
          <w:color w:val="auto"/>
          <w:sz w:val="28"/>
          <w:szCs w:val="28"/>
          <w:highlight w:val="none"/>
        </w:rPr>
        <w:t>绩效</w:t>
      </w:r>
      <w:r>
        <w:rPr>
          <w:rFonts w:eastAsia="宋体"/>
          <w:color w:val="auto"/>
          <w:sz w:val="28"/>
          <w:szCs w:val="28"/>
          <w:highlight w:val="none"/>
        </w:rPr>
        <w:t>级档系数总和</w:t>
      </w:r>
      <w:r>
        <w:rPr>
          <w:rFonts w:ascii="Cambria Math" w:hAnsi="Cambria Math" w:eastAsia="Arial Unicode MS" w:cs="Cambria Math"/>
          <w:color w:val="auto"/>
          <w:sz w:val="28"/>
          <w:szCs w:val="28"/>
          <w:highlight w:val="none"/>
        </w:rPr>
        <w:t>⌋</w:t>
      </w:r>
      <w:r>
        <w:rPr>
          <w:rFonts w:eastAsia="宋体"/>
          <w:color w:val="auto"/>
          <w:sz w:val="28"/>
          <w:szCs w:val="28"/>
          <w:highlight w:val="none"/>
        </w:rPr>
        <w:t>，式中K</w:t>
      </w:r>
      <w:r>
        <w:rPr>
          <w:rFonts w:eastAsia="宋体"/>
          <w:color w:val="auto"/>
          <w:sz w:val="28"/>
          <w:szCs w:val="28"/>
          <w:highlight w:val="none"/>
          <w:vertAlign w:val="subscript"/>
        </w:rPr>
        <w:t>1</w:t>
      </w:r>
      <w:r>
        <w:rPr>
          <w:rFonts w:eastAsia="宋体"/>
          <w:color w:val="auto"/>
          <w:sz w:val="28"/>
          <w:szCs w:val="28"/>
          <w:highlight w:val="none"/>
        </w:rPr>
        <w:t>、K</w:t>
      </w:r>
      <w:r>
        <w:rPr>
          <w:rFonts w:eastAsia="宋体"/>
          <w:color w:val="auto"/>
          <w:sz w:val="28"/>
          <w:szCs w:val="28"/>
          <w:highlight w:val="none"/>
          <w:vertAlign w:val="subscript"/>
        </w:rPr>
        <w:t>2</w:t>
      </w:r>
      <w:r>
        <w:rPr>
          <w:rFonts w:eastAsia="宋体"/>
          <w:color w:val="auto"/>
          <w:sz w:val="28"/>
          <w:szCs w:val="28"/>
          <w:highlight w:val="none"/>
        </w:rPr>
        <w:t>根据学院大多数教师实际取得的教学工作量和教学科研业绩分分别进行测算。岗位</w:t>
      </w:r>
      <w:r>
        <w:rPr>
          <w:rFonts w:hint="eastAsia" w:eastAsia="宋体"/>
          <w:color w:val="auto"/>
          <w:sz w:val="28"/>
          <w:szCs w:val="28"/>
          <w:highlight w:val="none"/>
        </w:rPr>
        <w:t>绩效</w:t>
      </w:r>
      <w:r>
        <w:rPr>
          <w:rFonts w:eastAsia="宋体"/>
          <w:color w:val="auto"/>
          <w:sz w:val="28"/>
          <w:szCs w:val="28"/>
          <w:highlight w:val="none"/>
        </w:rPr>
        <w:t>级档系数是在学校</w:t>
      </w:r>
      <w:r>
        <w:rPr>
          <w:rFonts w:hint="eastAsia" w:eastAsia="宋体"/>
          <w:color w:val="auto"/>
          <w:sz w:val="28"/>
          <w:szCs w:val="28"/>
          <w:highlight w:val="none"/>
          <w:lang w:val="en-US" w:eastAsia="zh-CN"/>
        </w:rPr>
        <w:t>当年</w:t>
      </w:r>
      <w:r>
        <w:rPr>
          <w:rFonts w:eastAsia="宋体"/>
          <w:color w:val="auto"/>
          <w:sz w:val="28"/>
          <w:szCs w:val="28"/>
          <w:highlight w:val="none"/>
        </w:rPr>
        <w:t>聘</w:t>
      </w:r>
      <w:r>
        <w:rPr>
          <w:rFonts w:hint="eastAsia" w:eastAsia="宋体"/>
          <w:color w:val="auto"/>
          <w:sz w:val="28"/>
          <w:szCs w:val="28"/>
          <w:highlight w:val="none"/>
          <w:lang w:val="en-US" w:eastAsia="zh-CN"/>
        </w:rPr>
        <w:t>任</w:t>
      </w:r>
      <w:r>
        <w:rPr>
          <w:rFonts w:eastAsia="宋体"/>
          <w:color w:val="auto"/>
          <w:sz w:val="28"/>
          <w:szCs w:val="28"/>
          <w:highlight w:val="none"/>
        </w:rPr>
        <w:t>岗位绩效级档系数的基础上，以副高7档（级档系数3.0）为基准换算得到。</w:t>
      </w:r>
    </w:p>
    <w:p>
      <w:pPr>
        <w:pStyle w:val="8"/>
        <w:ind w:firstLine="560" w:firstLineChars="200"/>
        <w:rPr>
          <w:rFonts w:eastAsia="宋体"/>
          <w:color w:val="auto"/>
          <w:sz w:val="28"/>
          <w:szCs w:val="28"/>
          <w:highlight w:val="none"/>
        </w:rPr>
      </w:pPr>
      <w:r>
        <w:rPr>
          <w:rFonts w:eastAsia="宋体"/>
          <w:color w:val="auto"/>
          <w:sz w:val="28"/>
          <w:szCs w:val="28"/>
          <w:highlight w:val="none"/>
        </w:rPr>
        <w:t>教学工作量</w:t>
      </w:r>
      <w:r>
        <w:rPr>
          <w:rFonts w:hint="eastAsia" w:eastAsia="宋体"/>
          <w:color w:val="auto"/>
          <w:sz w:val="28"/>
          <w:szCs w:val="28"/>
          <w:highlight w:val="none"/>
        </w:rPr>
        <w:t>记为</w:t>
      </w:r>
      <w:r>
        <w:rPr>
          <w:rFonts w:eastAsia="宋体"/>
          <w:i/>
          <w:iCs/>
          <w:color w:val="auto"/>
          <w:sz w:val="28"/>
          <w:szCs w:val="28"/>
          <w:highlight w:val="none"/>
        </w:rPr>
        <w:t>G</w:t>
      </w:r>
      <w:r>
        <w:rPr>
          <w:rFonts w:eastAsia="宋体"/>
          <w:color w:val="auto"/>
          <w:sz w:val="28"/>
          <w:szCs w:val="28"/>
          <w:highlight w:val="none"/>
          <w:vertAlign w:val="subscript"/>
        </w:rPr>
        <w:t>教学</w:t>
      </w:r>
      <w:r>
        <w:rPr>
          <w:rFonts w:hint="eastAsia" w:eastAsia="宋体"/>
          <w:color w:val="auto"/>
          <w:sz w:val="28"/>
          <w:szCs w:val="28"/>
          <w:highlight w:val="none"/>
        </w:rPr>
        <w:t>，</w:t>
      </w:r>
      <w:r>
        <w:rPr>
          <w:rFonts w:eastAsia="宋体"/>
          <w:color w:val="auto"/>
          <w:sz w:val="28"/>
          <w:szCs w:val="28"/>
          <w:highlight w:val="none"/>
        </w:rPr>
        <w:t>教</w:t>
      </w:r>
      <w:r>
        <w:rPr>
          <w:rFonts w:hint="eastAsia" w:eastAsia="宋体"/>
          <w:color w:val="auto"/>
          <w:sz w:val="28"/>
          <w:szCs w:val="28"/>
          <w:highlight w:val="none"/>
        </w:rPr>
        <w:t>研</w:t>
      </w:r>
      <w:r>
        <w:rPr>
          <w:rFonts w:eastAsia="宋体"/>
          <w:color w:val="auto"/>
          <w:sz w:val="28"/>
          <w:szCs w:val="28"/>
          <w:highlight w:val="none"/>
        </w:rPr>
        <w:t>业绩分记为</w:t>
      </w:r>
      <w:r>
        <w:rPr>
          <w:rFonts w:eastAsia="宋体"/>
          <w:i/>
          <w:iCs/>
          <w:color w:val="auto"/>
          <w:sz w:val="28"/>
          <w:szCs w:val="28"/>
          <w:highlight w:val="none"/>
        </w:rPr>
        <w:t>G</w:t>
      </w:r>
      <w:r>
        <w:rPr>
          <w:rFonts w:eastAsia="宋体"/>
          <w:color w:val="auto"/>
          <w:sz w:val="28"/>
          <w:szCs w:val="28"/>
          <w:highlight w:val="none"/>
          <w:vertAlign w:val="subscript"/>
        </w:rPr>
        <w:t>教</w:t>
      </w:r>
      <w:r>
        <w:rPr>
          <w:rFonts w:hint="eastAsia" w:eastAsia="宋体"/>
          <w:color w:val="auto"/>
          <w:sz w:val="28"/>
          <w:szCs w:val="28"/>
          <w:highlight w:val="none"/>
          <w:vertAlign w:val="subscript"/>
        </w:rPr>
        <w:t>研</w:t>
      </w:r>
      <w:r>
        <w:rPr>
          <w:rFonts w:eastAsia="宋体"/>
          <w:color w:val="auto"/>
          <w:sz w:val="28"/>
          <w:szCs w:val="28"/>
          <w:highlight w:val="none"/>
          <w:vertAlign w:val="subscript"/>
        </w:rPr>
        <w:t>业绩</w:t>
      </w:r>
      <w:r>
        <w:rPr>
          <w:rFonts w:hint="eastAsia" w:eastAsia="宋体"/>
          <w:color w:val="auto"/>
          <w:sz w:val="28"/>
          <w:szCs w:val="28"/>
          <w:highlight w:val="none"/>
        </w:rPr>
        <w:t>，</w:t>
      </w:r>
      <w:r>
        <w:rPr>
          <w:rFonts w:eastAsia="宋体"/>
          <w:color w:val="auto"/>
          <w:sz w:val="28"/>
          <w:szCs w:val="28"/>
          <w:highlight w:val="none"/>
        </w:rPr>
        <w:t>科研业绩分记为</w:t>
      </w:r>
      <w:r>
        <w:rPr>
          <w:rFonts w:eastAsia="宋体"/>
          <w:i/>
          <w:iCs/>
          <w:color w:val="auto"/>
          <w:sz w:val="28"/>
          <w:szCs w:val="28"/>
          <w:highlight w:val="none"/>
        </w:rPr>
        <w:t>G</w:t>
      </w:r>
      <w:r>
        <w:rPr>
          <w:rFonts w:eastAsia="宋体"/>
          <w:color w:val="auto"/>
          <w:sz w:val="28"/>
          <w:szCs w:val="28"/>
          <w:highlight w:val="none"/>
          <w:vertAlign w:val="subscript"/>
        </w:rPr>
        <w:t>科研业绩</w:t>
      </w:r>
      <w:r>
        <w:rPr>
          <w:rFonts w:hint="eastAsia" w:eastAsia="宋体"/>
          <w:color w:val="auto"/>
          <w:sz w:val="28"/>
          <w:szCs w:val="28"/>
          <w:highlight w:val="none"/>
        </w:rPr>
        <w:t>，</w:t>
      </w:r>
      <w:r>
        <w:rPr>
          <w:rFonts w:eastAsia="宋体"/>
          <w:color w:val="auto"/>
          <w:sz w:val="28"/>
          <w:szCs w:val="28"/>
          <w:highlight w:val="none"/>
        </w:rPr>
        <w:t>公共服务工作量记为</w:t>
      </w:r>
      <w:r>
        <w:rPr>
          <w:rFonts w:eastAsia="宋体"/>
          <w:i/>
          <w:iCs/>
          <w:color w:val="auto"/>
          <w:sz w:val="28"/>
          <w:szCs w:val="28"/>
          <w:highlight w:val="none"/>
        </w:rPr>
        <w:t>G</w:t>
      </w:r>
      <w:r>
        <w:rPr>
          <w:rFonts w:eastAsia="宋体"/>
          <w:color w:val="auto"/>
          <w:sz w:val="28"/>
          <w:szCs w:val="28"/>
          <w:highlight w:val="none"/>
          <w:vertAlign w:val="subscript"/>
        </w:rPr>
        <w:t>公共服务</w:t>
      </w:r>
      <w:r>
        <w:rPr>
          <w:rFonts w:eastAsia="宋体"/>
          <w:color w:val="auto"/>
          <w:sz w:val="28"/>
          <w:szCs w:val="28"/>
          <w:highlight w:val="none"/>
        </w:rPr>
        <w:t>。</w:t>
      </w:r>
    </w:p>
    <w:p>
      <w:pPr>
        <w:pStyle w:val="8"/>
        <w:ind w:firstLine="560" w:firstLineChars="200"/>
        <w:rPr>
          <w:rFonts w:eastAsia="宋体"/>
          <w:color w:val="auto"/>
          <w:sz w:val="28"/>
          <w:szCs w:val="28"/>
          <w:highlight w:val="none"/>
        </w:rPr>
      </w:pPr>
      <w:r>
        <w:rPr>
          <w:rFonts w:eastAsia="宋体"/>
          <w:color w:val="auto"/>
          <w:sz w:val="28"/>
          <w:szCs w:val="28"/>
          <w:highlight w:val="none"/>
        </w:rPr>
        <w:t>教学工作量按照《南通大学</w:t>
      </w:r>
      <w:r>
        <w:rPr>
          <w:rFonts w:hint="eastAsia" w:eastAsia="宋体"/>
          <w:color w:val="auto"/>
          <w:sz w:val="28"/>
          <w:szCs w:val="28"/>
          <w:highlight w:val="none"/>
        </w:rPr>
        <w:t>机械工程</w:t>
      </w:r>
      <w:r>
        <w:rPr>
          <w:rFonts w:eastAsia="宋体"/>
          <w:color w:val="auto"/>
          <w:sz w:val="28"/>
          <w:szCs w:val="28"/>
          <w:highlight w:val="none"/>
        </w:rPr>
        <w:t>学院教学工作量计算办法</w:t>
      </w:r>
      <w:r>
        <w:rPr>
          <w:rFonts w:hint="eastAsia" w:eastAsia="宋体"/>
          <w:color w:val="auto"/>
          <w:sz w:val="28"/>
          <w:szCs w:val="28"/>
          <w:highlight w:val="none"/>
          <w:lang w:eastAsia="zh-CN"/>
        </w:rPr>
        <w:t>（</w:t>
      </w:r>
      <w:r>
        <w:rPr>
          <w:rFonts w:hint="eastAsia" w:eastAsia="宋体"/>
          <w:color w:val="auto"/>
          <w:sz w:val="28"/>
          <w:szCs w:val="28"/>
          <w:highlight w:val="none"/>
          <w:lang w:val="en-US" w:eastAsia="zh-CN"/>
        </w:rPr>
        <w:t>2020版）</w:t>
      </w:r>
      <w:r>
        <w:rPr>
          <w:rFonts w:eastAsia="宋体"/>
          <w:color w:val="auto"/>
          <w:sz w:val="28"/>
          <w:szCs w:val="28"/>
          <w:highlight w:val="none"/>
        </w:rPr>
        <w:t>》文件执行。</w:t>
      </w:r>
    </w:p>
    <w:p>
      <w:pPr>
        <w:pStyle w:val="8"/>
        <w:ind w:firstLine="560" w:firstLineChars="200"/>
        <w:rPr>
          <w:rFonts w:eastAsia="宋体"/>
          <w:color w:val="FF0000"/>
          <w:sz w:val="28"/>
          <w:szCs w:val="28"/>
          <w:highlight w:val="none"/>
        </w:rPr>
      </w:pPr>
      <w:r>
        <w:rPr>
          <w:rFonts w:eastAsia="宋体"/>
          <w:color w:val="auto"/>
          <w:sz w:val="28"/>
          <w:szCs w:val="28"/>
          <w:highlight w:val="none"/>
        </w:rPr>
        <w:t>教</w:t>
      </w:r>
      <w:r>
        <w:rPr>
          <w:rFonts w:hint="eastAsia" w:eastAsia="宋体"/>
          <w:color w:val="auto"/>
          <w:sz w:val="28"/>
          <w:szCs w:val="28"/>
          <w:highlight w:val="none"/>
        </w:rPr>
        <w:t>研和</w:t>
      </w:r>
      <w:r>
        <w:rPr>
          <w:rFonts w:eastAsia="宋体"/>
          <w:color w:val="auto"/>
          <w:sz w:val="28"/>
          <w:szCs w:val="28"/>
          <w:highlight w:val="none"/>
        </w:rPr>
        <w:t>科研业绩分</w:t>
      </w:r>
      <w:r>
        <w:rPr>
          <w:rFonts w:hint="eastAsia" w:eastAsia="宋体"/>
          <w:color w:val="auto"/>
          <w:sz w:val="28"/>
          <w:szCs w:val="28"/>
          <w:highlight w:val="none"/>
        </w:rPr>
        <w:t>计算方法按照</w:t>
      </w:r>
      <w:r>
        <w:rPr>
          <w:rFonts w:eastAsia="宋体"/>
          <w:color w:val="auto"/>
          <w:sz w:val="28"/>
          <w:szCs w:val="28"/>
          <w:highlight w:val="none"/>
        </w:rPr>
        <w:t>学校相关文件执行。</w:t>
      </w:r>
    </w:p>
    <w:p>
      <w:pPr>
        <w:pStyle w:val="8"/>
        <w:ind w:firstLine="560" w:firstLineChars="200"/>
        <w:rPr>
          <w:rFonts w:eastAsia="宋体"/>
          <w:color w:val="auto"/>
          <w:sz w:val="28"/>
          <w:szCs w:val="28"/>
          <w:highlight w:val="none"/>
        </w:rPr>
      </w:pPr>
      <w:r>
        <w:rPr>
          <w:rFonts w:hint="eastAsia" w:eastAsia="宋体"/>
          <w:color w:val="auto"/>
          <w:sz w:val="28"/>
          <w:szCs w:val="28"/>
          <w:highlight w:val="none"/>
        </w:rPr>
        <w:t>公共服务</w:t>
      </w:r>
      <w:r>
        <w:rPr>
          <w:rFonts w:eastAsia="宋体"/>
          <w:color w:val="auto"/>
          <w:sz w:val="28"/>
          <w:szCs w:val="28"/>
          <w:highlight w:val="none"/>
        </w:rPr>
        <w:t>工作量</w:t>
      </w:r>
      <w:r>
        <w:rPr>
          <w:rFonts w:hint="eastAsia" w:eastAsia="宋体"/>
          <w:color w:val="auto"/>
          <w:sz w:val="28"/>
          <w:szCs w:val="28"/>
          <w:highlight w:val="none"/>
        </w:rPr>
        <w:t>由学院</w:t>
      </w:r>
      <w:r>
        <w:rPr>
          <w:rFonts w:eastAsia="宋体"/>
          <w:color w:val="auto"/>
          <w:sz w:val="28"/>
          <w:szCs w:val="28"/>
          <w:highlight w:val="none"/>
        </w:rPr>
        <w:t>绩效工资实施</w:t>
      </w:r>
      <w:r>
        <w:rPr>
          <w:rFonts w:hint="eastAsia" w:eastAsia="宋体"/>
          <w:color w:val="auto"/>
          <w:sz w:val="28"/>
          <w:szCs w:val="28"/>
          <w:highlight w:val="none"/>
        </w:rPr>
        <w:t>工作</w:t>
      </w:r>
      <w:r>
        <w:rPr>
          <w:rFonts w:eastAsia="宋体"/>
          <w:color w:val="auto"/>
          <w:sz w:val="28"/>
          <w:szCs w:val="28"/>
          <w:highlight w:val="none"/>
        </w:rPr>
        <w:t>小组</w:t>
      </w:r>
      <w:r>
        <w:rPr>
          <w:rFonts w:hint="eastAsia" w:eastAsia="宋体"/>
          <w:color w:val="auto"/>
          <w:sz w:val="28"/>
          <w:szCs w:val="28"/>
          <w:highlight w:val="none"/>
        </w:rPr>
        <w:t>讨论</w:t>
      </w:r>
      <w:r>
        <w:rPr>
          <w:rFonts w:eastAsia="宋体"/>
          <w:color w:val="auto"/>
          <w:sz w:val="28"/>
          <w:szCs w:val="28"/>
          <w:highlight w:val="none"/>
        </w:rPr>
        <w:t>决定。</w:t>
      </w:r>
    </w:p>
    <w:p>
      <w:pPr>
        <w:pStyle w:val="8"/>
        <w:ind w:firstLine="560" w:firstLineChars="200"/>
        <w:rPr>
          <w:rFonts w:eastAsia="宋体"/>
          <w:color w:val="auto"/>
          <w:sz w:val="28"/>
          <w:szCs w:val="28"/>
          <w:highlight w:val="none"/>
        </w:rPr>
      </w:pPr>
      <w:r>
        <w:rPr>
          <w:rFonts w:hint="eastAsia" w:eastAsia="宋体"/>
          <w:color w:val="auto"/>
          <w:sz w:val="28"/>
          <w:szCs w:val="28"/>
          <w:highlight w:val="none"/>
        </w:rPr>
        <w:t>专任教师</w:t>
      </w:r>
      <w:r>
        <w:rPr>
          <w:rFonts w:eastAsia="宋体"/>
          <w:color w:val="auto"/>
          <w:sz w:val="28"/>
          <w:szCs w:val="28"/>
          <w:highlight w:val="none"/>
        </w:rPr>
        <w:t>岗位总工作量</w:t>
      </w:r>
      <w:r>
        <w:rPr>
          <w:rFonts w:eastAsia="宋体"/>
          <w:i/>
          <w:iCs/>
          <w:color w:val="auto"/>
          <w:sz w:val="28"/>
          <w:szCs w:val="28"/>
          <w:highlight w:val="none"/>
        </w:rPr>
        <w:t>G</w:t>
      </w:r>
      <w:r>
        <w:rPr>
          <w:rFonts w:eastAsia="宋体"/>
          <w:color w:val="auto"/>
          <w:sz w:val="28"/>
          <w:szCs w:val="28"/>
          <w:highlight w:val="none"/>
          <w:vertAlign w:val="subscript"/>
        </w:rPr>
        <w:t>总</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教学</w:t>
      </w:r>
      <w:r>
        <w:rPr>
          <w:rFonts w:eastAsia="宋体"/>
          <w:color w:val="auto"/>
          <w:sz w:val="28"/>
          <w:szCs w:val="28"/>
          <w:highlight w:val="none"/>
        </w:rPr>
        <w:t>+</w:t>
      </w:r>
      <m:oMath>
        <m:f>
          <m:fPr>
            <m:ctrlPr>
              <w:rPr>
                <w:rFonts w:ascii="Cambria Math" w:hAnsi="Cambria Math" w:eastAsia="宋体"/>
                <w:color w:val="auto"/>
                <w:sz w:val="28"/>
                <w:szCs w:val="28"/>
                <w:highlight w:val="none"/>
              </w:rPr>
            </m:ctrlPr>
          </m:fPr>
          <m:num>
            <m:r>
              <m:rPr/>
              <w:rPr>
                <w:rFonts w:ascii="Cambria Math" w:hAnsi="Cambria Math" w:eastAsia="宋体"/>
                <w:color w:val="auto"/>
                <w:sz w:val="28"/>
                <w:szCs w:val="28"/>
                <w:highlight w:val="none"/>
              </w:rPr>
              <m:t>1</m:t>
            </m:r>
            <m:ctrlPr>
              <w:rPr>
                <w:rFonts w:ascii="Cambria Math" w:hAnsi="Cambria Math" w:eastAsia="宋体"/>
                <w:color w:val="auto"/>
                <w:sz w:val="28"/>
                <w:szCs w:val="28"/>
                <w:highlight w:val="none"/>
              </w:rPr>
            </m:ctrlPr>
          </m:num>
          <m:den>
            <m:r>
              <m:rPr>
                <m:sty m:val="p"/>
              </m:rPr>
              <w:rPr>
                <w:rFonts w:ascii="Cambria Math" w:hAnsi="Cambria Math" w:eastAsia="宋体"/>
                <w:color w:val="auto"/>
                <w:sz w:val="28"/>
                <w:szCs w:val="28"/>
                <w:highlight w:val="none"/>
              </w:rPr>
              <m:t>a</m:t>
            </m:r>
            <m:ctrlPr>
              <w:rPr>
                <w:rFonts w:ascii="Cambria Math" w:hAnsi="Cambria Math" w:eastAsia="宋体"/>
                <w:color w:val="auto"/>
                <w:sz w:val="28"/>
                <w:szCs w:val="28"/>
                <w:highlight w:val="none"/>
              </w:rPr>
            </m:ctrlPr>
          </m:den>
        </m:f>
      </m:oMath>
      <w:r>
        <w:rPr>
          <w:rFonts w:hint="eastAsia" w:ascii="宋体" w:hAnsi="宋体"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教</w:t>
      </w:r>
      <w:r>
        <w:rPr>
          <w:rFonts w:hint="eastAsia" w:eastAsia="宋体"/>
          <w:color w:val="auto"/>
          <w:sz w:val="28"/>
          <w:szCs w:val="28"/>
          <w:highlight w:val="none"/>
          <w:vertAlign w:val="subscript"/>
        </w:rPr>
        <w:t>研</w:t>
      </w:r>
      <w:r>
        <w:rPr>
          <w:rFonts w:eastAsia="宋体"/>
          <w:color w:val="auto"/>
          <w:sz w:val="28"/>
          <w:szCs w:val="28"/>
          <w:highlight w:val="none"/>
          <w:vertAlign w:val="subscript"/>
        </w:rPr>
        <w:t>业绩</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科研业绩</w:t>
      </w:r>
      <w:r>
        <w:rPr>
          <w:rFonts w:eastAsia="宋体"/>
          <w:color w:val="auto"/>
          <w:sz w:val="28"/>
          <w:szCs w:val="28"/>
          <w:highlight w:val="none"/>
        </w:rPr>
        <w:t>)+</w:t>
      </w:r>
      <w:r>
        <w:rPr>
          <w:rFonts w:hint="eastAsia" w:ascii="宋体" w:hAnsi="宋体" w:eastAsia="宋体"/>
          <w:i/>
          <w:color w:val="auto"/>
          <w:sz w:val="28"/>
          <w:szCs w:val="28"/>
          <w:highlight w:val="none"/>
        </w:rPr>
        <w:t>b</w:t>
      </w:r>
      <w:r>
        <w:rPr>
          <w:rFonts w:hint="eastAsia" w:ascii="宋体" w:hAnsi="宋体"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公共服务</w:t>
      </w:r>
      <w:r>
        <w:rPr>
          <w:rFonts w:eastAsia="宋体"/>
          <w:color w:val="auto"/>
          <w:sz w:val="28"/>
          <w:szCs w:val="28"/>
          <w:highlight w:val="none"/>
        </w:rPr>
        <w:t>，</w:t>
      </w:r>
      <w:r>
        <w:rPr>
          <w:rFonts w:hint="eastAsia" w:ascii="宋体" w:hAnsi="宋体" w:eastAsia="宋体"/>
          <w:i/>
          <w:color w:val="auto"/>
          <w:sz w:val="28"/>
          <w:szCs w:val="28"/>
          <w:highlight w:val="none"/>
        </w:rPr>
        <w:t>a</w:t>
      </w:r>
      <w:r>
        <w:rPr>
          <w:rFonts w:hint="eastAsia" w:ascii="宋体" w:hAnsi="宋体" w:eastAsia="宋体"/>
          <w:color w:val="auto"/>
          <w:sz w:val="28"/>
          <w:szCs w:val="28"/>
          <w:highlight w:val="none"/>
        </w:rPr>
        <w:t>,</w:t>
      </w:r>
      <w:r>
        <w:rPr>
          <w:rFonts w:hint="eastAsia" w:ascii="宋体" w:hAnsi="宋体" w:eastAsia="宋体"/>
          <w:i/>
          <w:color w:val="auto"/>
          <w:sz w:val="28"/>
          <w:szCs w:val="28"/>
          <w:highlight w:val="none"/>
        </w:rPr>
        <w:t>b</w:t>
      </w:r>
      <w:r>
        <w:rPr>
          <w:rFonts w:eastAsia="宋体"/>
          <w:color w:val="auto"/>
          <w:sz w:val="28"/>
          <w:szCs w:val="28"/>
          <w:highlight w:val="none"/>
        </w:rPr>
        <w:t>为换算比例系数</w:t>
      </w:r>
      <w:r>
        <w:rPr>
          <w:rFonts w:hint="eastAsia" w:eastAsia="宋体"/>
          <w:color w:val="auto"/>
          <w:sz w:val="28"/>
          <w:szCs w:val="28"/>
          <w:highlight w:val="none"/>
        </w:rPr>
        <w:t>，取值视具体</w:t>
      </w:r>
      <w:r>
        <w:rPr>
          <w:rFonts w:eastAsia="宋体"/>
          <w:color w:val="auto"/>
          <w:sz w:val="28"/>
          <w:szCs w:val="28"/>
          <w:highlight w:val="none"/>
        </w:rPr>
        <w:t>情况而定。</w:t>
      </w:r>
    </w:p>
    <w:p>
      <w:pPr>
        <w:pStyle w:val="8"/>
        <w:ind w:firstLine="560" w:firstLineChars="200"/>
        <w:jc w:val="both"/>
        <w:rPr>
          <w:rFonts w:eastAsia="宋体"/>
          <w:color w:val="auto"/>
          <w:sz w:val="28"/>
          <w:szCs w:val="28"/>
          <w:highlight w:val="none"/>
        </w:rPr>
      </w:pPr>
      <w:r>
        <w:rPr>
          <w:rFonts w:hint="eastAsia" w:eastAsia="宋体"/>
          <w:color w:val="auto"/>
          <w:sz w:val="28"/>
          <w:szCs w:val="28"/>
          <w:highlight w:val="none"/>
        </w:rPr>
        <w:t>专任教师</w:t>
      </w:r>
      <w:r>
        <w:rPr>
          <w:rFonts w:eastAsia="宋体"/>
          <w:color w:val="auto"/>
          <w:sz w:val="28"/>
          <w:szCs w:val="28"/>
          <w:highlight w:val="none"/>
        </w:rPr>
        <w:t>相应档级的基本工作任务标准</w:t>
      </w:r>
      <w:r>
        <w:rPr>
          <w:rFonts w:eastAsia="宋体"/>
          <w:i/>
          <w:iCs/>
          <w:color w:val="auto"/>
          <w:sz w:val="28"/>
          <w:szCs w:val="28"/>
          <w:highlight w:val="none"/>
        </w:rPr>
        <w:t>G</w:t>
      </w:r>
      <w:r>
        <w:rPr>
          <w:rFonts w:eastAsia="宋体"/>
          <w:color w:val="auto"/>
          <w:sz w:val="28"/>
          <w:szCs w:val="28"/>
          <w:highlight w:val="none"/>
          <w:vertAlign w:val="subscript"/>
        </w:rPr>
        <w:t>档n</w:t>
      </w:r>
      <w:r>
        <w:rPr>
          <w:rFonts w:hint="eastAsia" w:eastAsia="宋体"/>
          <w:color w:val="auto"/>
          <w:sz w:val="28"/>
          <w:szCs w:val="28"/>
          <w:highlight w:val="none"/>
          <w:vertAlign w:val="subscript"/>
        </w:rPr>
        <w:t>,</w:t>
      </w:r>
      <w:r>
        <w:rPr>
          <w:rFonts w:eastAsia="宋体"/>
          <w:color w:val="auto"/>
          <w:sz w:val="28"/>
          <w:szCs w:val="28"/>
          <w:highlight w:val="none"/>
          <w:vertAlign w:val="subscript"/>
        </w:rPr>
        <w:t>标</w:t>
      </w:r>
      <w:r>
        <w:rPr>
          <w:rFonts w:hint="eastAsia"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教标</w:t>
      </w:r>
      <w:r>
        <w:rPr>
          <w:rFonts w:hint="eastAsia" w:eastAsia="宋体"/>
          <w:color w:val="auto"/>
          <w:sz w:val="28"/>
          <w:szCs w:val="28"/>
          <w:highlight w:val="none"/>
        </w:rPr>
        <w:t>+</w:t>
      </w:r>
      <w:r>
        <w:rPr>
          <w:rFonts w:eastAsia="宋体"/>
          <w:i/>
          <w:color w:val="auto"/>
          <w:sz w:val="28"/>
          <w:szCs w:val="28"/>
          <w:highlight w:val="none"/>
        </w:rPr>
        <w:t>d</w:t>
      </w:r>
      <w:r>
        <w:rPr>
          <w:rFonts w:eastAsia="宋体"/>
          <w:color w:val="auto"/>
          <w:sz w:val="28"/>
          <w:szCs w:val="28"/>
          <w:highlight w:val="none"/>
        </w:rPr>
        <w:t>*</w:t>
      </w:r>
      <m:oMath>
        <m:f>
          <m:fPr>
            <m:ctrlPr>
              <w:rPr>
                <w:rFonts w:ascii="Cambria Math" w:hAnsi="Cambria Math" w:eastAsia="宋体"/>
                <w:color w:val="auto"/>
                <w:sz w:val="28"/>
                <w:szCs w:val="28"/>
                <w:highlight w:val="none"/>
              </w:rPr>
            </m:ctrlPr>
          </m:fPr>
          <m:num>
            <m:r>
              <m:rPr/>
              <w:rPr>
                <w:rFonts w:ascii="Cambria Math" w:hAnsi="Cambria Math" w:eastAsia="宋体"/>
                <w:color w:val="auto"/>
                <w:sz w:val="28"/>
                <w:szCs w:val="28"/>
                <w:highlight w:val="none"/>
              </w:rPr>
              <m:t>1</m:t>
            </m:r>
            <m:ctrlPr>
              <w:rPr>
                <w:rFonts w:ascii="Cambria Math" w:hAnsi="Cambria Math" w:eastAsia="宋体"/>
                <w:color w:val="auto"/>
                <w:sz w:val="28"/>
                <w:szCs w:val="28"/>
                <w:highlight w:val="none"/>
              </w:rPr>
            </m:ctrlPr>
          </m:num>
          <m:den>
            <m:r>
              <m:rPr>
                <m:sty m:val="p"/>
              </m:rPr>
              <w:rPr>
                <w:rFonts w:ascii="Cambria Math" w:hAnsi="Cambria Math" w:eastAsia="宋体"/>
                <w:color w:val="auto"/>
                <w:sz w:val="28"/>
                <w:szCs w:val="28"/>
                <w:highlight w:val="none"/>
              </w:rPr>
              <m:t>a</m:t>
            </m:r>
            <m:ctrlPr>
              <w:rPr>
                <w:rFonts w:ascii="Cambria Math" w:hAnsi="Cambria Math" w:eastAsia="宋体"/>
                <w:color w:val="auto"/>
                <w:sz w:val="28"/>
                <w:szCs w:val="28"/>
                <w:highlight w:val="none"/>
              </w:rPr>
            </m:ctrlPr>
          </m:den>
        </m:f>
      </m:oMath>
      <w:r>
        <w:rPr>
          <w:rFonts w:hint="eastAsia" w:eastAsia="宋体"/>
          <w:color w:val="auto"/>
          <w:sz w:val="28"/>
          <w:szCs w:val="28"/>
          <w:highlight w:val="none"/>
        </w:rPr>
        <w:t>*</w:t>
      </w:r>
      <w:r>
        <w:rPr>
          <w:rFonts w:eastAsia="宋体"/>
          <w:i/>
          <w:iCs/>
          <w:color w:val="auto"/>
          <w:sz w:val="28"/>
          <w:szCs w:val="28"/>
          <w:highlight w:val="none"/>
        </w:rPr>
        <w:t>G</w:t>
      </w:r>
      <w:r>
        <w:rPr>
          <w:rFonts w:hint="eastAsia" w:eastAsia="宋体"/>
          <w:color w:val="auto"/>
          <w:sz w:val="28"/>
          <w:szCs w:val="28"/>
          <w:highlight w:val="none"/>
          <w:vertAlign w:val="subscript"/>
        </w:rPr>
        <w:t>研</w:t>
      </w:r>
      <w:r>
        <w:rPr>
          <w:rFonts w:eastAsia="宋体"/>
          <w:color w:val="auto"/>
          <w:sz w:val="28"/>
          <w:szCs w:val="28"/>
          <w:highlight w:val="none"/>
          <w:vertAlign w:val="subscript"/>
        </w:rPr>
        <w:t>标</w:t>
      </w:r>
      <w:r>
        <w:rPr>
          <w:rFonts w:eastAsia="宋体"/>
          <w:color w:val="auto"/>
          <w:sz w:val="28"/>
          <w:szCs w:val="28"/>
          <w:highlight w:val="none"/>
        </w:rPr>
        <w:t>，</w:t>
      </w:r>
      <w:r>
        <w:rPr>
          <w:rFonts w:hint="eastAsia" w:eastAsia="宋体"/>
          <w:color w:val="auto"/>
          <w:sz w:val="28"/>
          <w:szCs w:val="28"/>
          <w:highlight w:val="none"/>
        </w:rPr>
        <w:t>其中</w:t>
      </w:r>
      <w:r>
        <w:rPr>
          <w:rFonts w:hint="eastAsia" w:eastAsia="宋体"/>
          <w:i/>
          <w:iCs/>
          <w:color w:val="auto"/>
          <w:sz w:val="28"/>
          <w:szCs w:val="28"/>
          <w:highlight w:val="none"/>
        </w:rPr>
        <w:t>d</w:t>
      </w:r>
      <w:r>
        <w:rPr>
          <w:rFonts w:hint="eastAsia" w:eastAsia="宋体"/>
          <w:color w:val="auto"/>
          <w:sz w:val="28"/>
          <w:szCs w:val="28"/>
          <w:highlight w:val="none"/>
        </w:rPr>
        <w:t>为岗位级档系数。</w:t>
      </w:r>
      <w:r>
        <w:rPr>
          <w:rFonts w:eastAsia="宋体"/>
          <w:color w:val="auto"/>
          <w:sz w:val="28"/>
          <w:szCs w:val="28"/>
          <w:highlight w:val="none"/>
        </w:rPr>
        <w:t>对于</w:t>
      </w:r>
      <w:r>
        <w:rPr>
          <w:rFonts w:eastAsia="宋体"/>
          <w:i/>
          <w:iCs/>
          <w:color w:val="auto"/>
          <w:sz w:val="28"/>
          <w:szCs w:val="28"/>
          <w:highlight w:val="none"/>
        </w:rPr>
        <w:t>G</w:t>
      </w:r>
      <w:r>
        <w:rPr>
          <w:rFonts w:eastAsia="宋体"/>
          <w:color w:val="auto"/>
          <w:sz w:val="28"/>
          <w:szCs w:val="28"/>
          <w:highlight w:val="none"/>
          <w:vertAlign w:val="subscript"/>
        </w:rPr>
        <w:t>总</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档n</w:t>
      </w:r>
      <w:r>
        <w:rPr>
          <w:rFonts w:hint="eastAsia" w:eastAsia="宋体"/>
          <w:color w:val="auto"/>
          <w:sz w:val="28"/>
          <w:szCs w:val="28"/>
          <w:highlight w:val="none"/>
          <w:vertAlign w:val="subscript"/>
        </w:rPr>
        <w:t>,</w:t>
      </w:r>
      <w:r>
        <w:rPr>
          <w:rFonts w:eastAsia="宋体"/>
          <w:color w:val="auto"/>
          <w:sz w:val="28"/>
          <w:szCs w:val="28"/>
          <w:highlight w:val="none"/>
          <w:vertAlign w:val="subscript"/>
        </w:rPr>
        <w:t>标</w:t>
      </w:r>
      <w:r>
        <w:rPr>
          <w:rFonts w:eastAsia="宋体"/>
          <w:color w:val="auto"/>
          <w:sz w:val="28"/>
          <w:szCs w:val="28"/>
          <w:highlight w:val="none"/>
        </w:rPr>
        <w:t>的教学科研人员，发放全年岗位奖励津贴。对于</w:t>
      </w:r>
      <w:r>
        <w:rPr>
          <w:rFonts w:eastAsia="宋体"/>
          <w:i/>
          <w:iCs/>
          <w:color w:val="auto"/>
          <w:sz w:val="28"/>
          <w:szCs w:val="28"/>
          <w:highlight w:val="none"/>
        </w:rPr>
        <w:t>G</w:t>
      </w:r>
      <w:r>
        <w:rPr>
          <w:rFonts w:eastAsia="宋体"/>
          <w:color w:val="auto"/>
          <w:sz w:val="28"/>
          <w:szCs w:val="28"/>
          <w:highlight w:val="none"/>
          <w:vertAlign w:val="subscript"/>
        </w:rPr>
        <w:t>总</w:t>
      </w:r>
      <w:r>
        <w:rPr>
          <w:rFonts w:eastAsia="宋体"/>
          <w:color w:val="auto"/>
          <w:sz w:val="28"/>
          <w:szCs w:val="28"/>
          <w:highlight w:val="none"/>
        </w:rPr>
        <w:t>&lt;</w:t>
      </w:r>
      <w:r>
        <w:rPr>
          <w:rFonts w:eastAsia="宋体"/>
          <w:i/>
          <w:iCs/>
          <w:color w:val="auto"/>
          <w:sz w:val="28"/>
          <w:szCs w:val="28"/>
          <w:highlight w:val="none"/>
        </w:rPr>
        <w:t>G</w:t>
      </w:r>
      <w:r>
        <w:rPr>
          <w:rFonts w:eastAsia="宋体"/>
          <w:color w:val="auto"/>
          <w:sz w:val="28"/>
          <w:szCs w:val="28"/>
          <w:highlight w:val="none"/>
          <w:vertAlign w:val="subscript"/>
        </w:rPr>
        <w:t>档n</w:t>
      </w:r>
      <w:r>
        <w:rPr>
          <w:rFonts w:hint="eastAsia" w:eastAsia="宋体"/>
          <w:color w:val="auto"/>
          <w:sz w:val="28"/>
          <w:szCs w:val="28"/>
          <w:highlight w:val="none"/>
          <w:vertAlign w:val="subscript"/>
        </w:rPr>
        <w:t>,</w:t>
      </w:r>
      <w:r>
        <w:rPr>
          <w:rFonts w:eastAsia="宋体"/>
          <w:color w:val="auto"/>
          <w:sz w:val="28"/>
          <w:szCs w:val="28"/>
          <w:highlight w:val="none"/>
          <w:vertAlign w:val="subscript"/>
        </w:rPr>
        <w:t>标</w:t>
      </w:r>
      <w:r>
        <w:rPr>
          <w:rFonts w:eastAsia="宋体"/>
          <w:color w:val="auto"/>
          <w:sz w:val="28"/>
          <w:szCs w:val="28"/>
          <w:highlight w:val="none"/>
        </w:rPr>
        <w:t>的教学科研人员，扣发岗位奖励津贴=</w:t>
      </w:r>
      <w:r>
        <w:rPr>
          <w:rFonts w:hint="eastAsia" w:eastAsia="宋体"/>
          <w:color w:val="auto"/>
          <w:sz w:val="28"/>
          <w:szCs w:val="28"/>
          <w:highlight w:val="none"/>
        </w:rPr>
        <w:t>n</w:t>
      </w:r>
      <w:r>
        <w:rPr>
          <w:rFonts w:eastAsia="宋体"/>
          <w:color w:val="auto"/>
          <w:sz w:val="28"/>
          <w:szCs w:val="28"/>
          <w:highlight w:val="none"/>
        </w:rPr>
        <w:t>×η×</w:t>
      </w:r>
      <w:r>
        <w:rPr>
          <w:rFonts w:hint="eastAsia" w:eastAsia="宋体"/>
          <w:color w:val="auto"/>
          <w:sz w:val="28"/>
          <w:szCs w:val="28"/>
          <w:highlight w:val="none"/>
        </w:rPr>
        <w:t>一个月</w:t>
      </w:r>
      <w:r>
        <w:rPr>
          <w:rFonts w:eastAsia="宋体"/>
          <w:color w:val="auto"/>
          <w:sz w:val="28"/>
          <w:szCs w:val="28"/>
          <w:highlight w:val="none"/>
        </w:rPr>
        <w:t>岗位奖励津贴，η=（</w:t>
      </w:r>
      <w:r>
        <w:rPr>
          <w:rFonts w:eastAsia="宋体"/>
          <w:i/>
          <w:iCs/>
          <w:color w:val="auto"/>
          <w:sz w:val="28"/>
          <w:szCs w:val="28"/>
          <w:highlight w:val="none"/>
        </w:rPr>
        <w:t>G</w:t>
      </w:r>
      <w:r>
        <w:rPr>
          <w:rFonts w:eastAsia="宋体"/>
          <w:color w:val="auto"/>
          <w:sz w:val="28"/>
          <w:szCs w:val="28"/>
          <w:highlight w:val="none"/>
          <w:vertAlign w:val="subscript"/>
        </w:rPr>
        <w:t>档n,标</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总</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档n,标</w:t>
      </w:r>
      <w:r>
        <w:rPr>
          <w:rFonts w:hint="eastAsia" w:eastAsia="宋体"/>
          <w:color w:val="auto"/>
          <w:sz w:val="28"/>
          <w:szCs w:val="28"/>
          <w:highlight w:val="none"/>
        </w:rPr>
        <w:t>，n为系数</w:t>
      </w:r>
      <w:r>
        <w:rPr>
          <w:rFonts w:eastAsia="宋体"/>
          <w:color w:val="auto"/>
          <w:sz w:val="28"/>
          <w:szCs w:val="28"/>
          <w:highlight w:val="none"/>
        </w:rPr>
        <w:t>。</w:t>
      </w:r>
    </w:p>
    <w:p>
      <w:pPr>
        <w:pStyle w:val="8"/>
        <w:ind w:firstLine="560" w:firstLineChars="200"/>
        <w:rPr>
          <w:rFonts w:eastAsia="宋体"/>
          <w:color w:val="auto"/>
          <w:sz w:val="28"/>
          <w:szCs w:val="28"/>
          <w:highlight w:val="none"/>
        </w:rPr>
      </w:pPr>
      <w:r>
        <w:rPr>
          <w:rFonts w:eastAsia="宋体"/>
          <w:color w:val="auto"/>
          <w:sz w:val="28"/>
          <w:szCs w:val="28"/>
          <w:highlight w:val="none"/>
        </w:rPr>
        <w:t>学院高级职称的教学科研岗位人员必须承担至少一门</w:t>
      </w:r>
      <w:r>
        <w:rPr>
          <w:rFonts w:hint="eastAsia" w:eastAsia="宋体"/>
          <w:color w:val="auto"/>
          <w:sz w:val="28"/>
          <w:szCs w:val="28"/>
          <w:highlight w:val="none"/>
        </w:rPr>
        <w:t>普通</w:t>
      </w:r>
      <w:r>
        <w:rPr>
          <w:rFonts w:eastAsia="宋体"/>
          <w:color w:val="auto"/>
          <w:sz w:val="28"/>
          <w:szCs w:val="28"/>
          <w:highlight w:val="none"/>
        </w:rPr>
        <w:t>本科生课程，否则，将扣发1个月的岗位奖励津贴。岗位绩效定档在本层级非最低档的人员，其教学科研业绩分必须达到教学科研业绩分考核基准线的50%，否则，将扣发1个月的岗位奖励津贴。</w:t>
      </w:r>
    </w:p>
    <w:p>
      <w:pPr>
        <w:pStyle w:val="8"/>
        <w:numPr>
          <w:ilvl w:val="0"/>
          <w:numId w:val="1"/>
        </w:numPr>
        <w:ind w:firstLine="562" w:firstLineChars="200"/>
        <w:rPr>
          <w:rFonts w:eastAsia="宋体"/>
          <w:b/>
          <w:color w:val="auto"/>
          <w:sz w:val="28"/>
          <w:szCs w:val="28"/>
          <w:highlight w:val="none"/>
        </w:rPr>
      </w:pPr>
      <w:r>
        <w:rPr>
          <w:rFonts w:eastAsia="宋体"/>
          <w:b/>
          <w:color w:val="auto"/>
          <w:sz w:val="28"/>
          <w:szCs w:val="28"/>
          <w:highlight w:val="none"/>
        </w:rPr>
        <w:t>实验</w:t>
      </w:r>
      <w:r>
        <w:rPr>
          <w:rFonts w:hint="eastAsia" w:eastAsia="宋体"/>
          <w:b/>
          <w:color w:val="auto"/>
          <w:sz w:val="28"/>
          <w:szCs w:val="28"/>
          <w:highlight w:val="none"/>
        </w:rPr>
        <w:t>技术</w:t>
      </w:r>
      <w:r>
        <w:rPr>
          <w:rFonts w:eastAsia="宋体"/>
          <w:b/>
          <w:color w:val="auto"/>
          <w:sz w:val="28"/>
          <w:szCs w:val="28"/>
          <w:highlight w:val="none"/>
        </w:rPr>
        <w:t>人员</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实验</w:t>
      </w:r>
      <w:r>
        <w:rPr>
          <w:rFonts w:hint="eastAsia" w:eastAsia="宋体"/>
          <w:color w:val="auto"/>
          <w:sz w:val="28"/>
          <w:szCs w:val="28"/>
          <w:highlight w:val="none"/>
        </w:rPr>
        <w:t>技术</w:t>
      </w:r>
      <w:r>
        <w:rPr>
          <w:rFonts w:eastAsia="宋体"/>
          <w:color w:val="auto"/>
          <w:sz w:val="28"/>
          <w:szCs w:val="28"/>
          <w:highlight w:val="none"/>
        </w:rPr>
        <w:t>人员的岗位总工作量</w:t>
      </w:r>
      <w:r>
        <w:rPr>
          <w:rFonts w:eastAsia="宋体"/>
          <w:i/>
          <w:iCs/>
          <w:color w:val="auto"/>
          <w:sz w:val="28"/>
          <w:szCs w:val="28"/>
          <w:highlight w:val="none"/>
        </w:rPr>
        <w:t>G’</w:t>
      </w:r>
      <w:r>
        <w:rPr>
          <w:rFonts w:eastAsia="宋体"/>
          <w:color w:val="auto"/>
          <w:sz w:val="28"/>
          <w:szCs w:val="28"/>
          <w:highlight w:val="none"/>
          <w:vertAlign w:val="subscript"/>
        </w:rPr>
        <w:t>总</w:t>
      </w:r>
      <w:r>
        <w:rPr>
          <w:rFonts w:eastAsia="宋体"/>
          <w:color w:val="auto"/>
          <w:sz w:val="28"/>
          <w:szCs w:val="28"/>
          <w:highlight w:val="none"/>
        </w:rPr>
        <w:t>=</w:t>
      </w:r>
      <w:r>
        <w:rPr>
          <w:rFonts w:eastAsia="宋体"/>
          <w:i/>
          <w:iCs/>
          <w:color w:val="auto"/>
          <w:sz w:val="28"/>
          <w:szCs w:val="28"/>
          <w:highlight w:val="none"/>
        </w:rPr>
        <w:t>G</w:t>
      </w:r>
      <w:r>
        <w:rPr>
          <w:rFonts w:hint="eastAsia" w:eastAsia="宋体"/>
          <w:color w:val="auto"/>
          <w:sz w:val="28"/>
          <w:szCs w:val="28"/>
          <w:highlight w:val="none"/>
          <w:vertAlign w:val="subscript"/>
        </w:rPr>
        <w:t>实验管理</w:t>
      </w:r>
      <w:r>
        <w:rPr>
          <w:rFonts w:eastAsia="宋体"/>
          <w:color w:val="auto"/>
          <w:sz w:val="28"/>
          <w:szCs w:val="28"/>
          <w:highlight w:val="none"/>
        </w:rPr>
        <w:t>+</w:t>
      </w:r>
      <w:r>
        <w:rPr>
          <w:rFonts w:eastAsia="宋体"/>
          <w:i/>
          <w:iCs/>
          <w:color w:val="auto"/>
          <w:sz w:val="28"/>
          <w:szCs w:val="28"/>
          <w:highlight w:val="none"/>
        </w:rPr>
        <w:t>G</w:t>
      </w:r>
      <w:r>
        <w:rPr>
          <w:rFonts w:hint="eastAsia" w:eastAsia="宋体"/>
          <w:color w:val="auto"/>
          <w:sz w:val="28"/>
          <w:szCs w:val="28"/>
          <w:highlight w:val="none"/>
          <w:vertAlign w:val="subscript"/>
        </w:rPr>
        <w:t>实验</w:t>
      </w:r>
      <w:r>
        <w:rPr>
          <w:rFonts w:eastAsia="宋体"/>
          <w:color w:val="auto"/>
          <w:sz w:val="28"/>
          <w:szCs w:val="28"/>
          <w:highlight w:val="none"/>
          <w:vertAlign w:val="subscript"/>
        </w:rPr>
        <w:t>教学</w:t>
      </w:r>
      <w:r>
        <w:rPr>
          <w:rFonts w:eastAsia="宋体"/>
          <w:color w:val="auto"/>
          <w:sz w:val="28"/>
          <w:szCs w:val="28"/>
          <w:highlight w:val="none"/>
        </w:rPr>
        <w:t>+</w:t>
      </w:r>
      <m:oMath>
        <m:f>
          <m:fPr>
            <m:ctrlPr>
              <w:rPr>
                <w:rFonts w:ascii="Cambria Math" w:hAnsi="Cambria Math" w:eastAsia="宋体"/>
                <w:color w:val="auto"/>
                <w:sz w:val="28"/>
                <w:szCs w:val="28"/>
                <w:highlight w:val="none"/>
              </w:rPr>
            </m:ctrlPr>
          </m:fPr>
          <m:num>
            <m:r>
              <m:rPr/>
              <w:rPr>
                <w:rFonts w:ascii="Cambria Math" w:hAnsi="Cambria Math" w:eastAsia="宋体"/>
                <w:color w:val="auto"/>
                <w:sz w:val="28"/>
                <w:szCs w:val="28"/>
                <w:highlight w:val="none"/>
              </w:rPr>
              <m:t>1</m:t>
            </m:r>
            <m:ctrlPr>
              <w:rPr>
                <w:rFonts w:ascii="Cambria Math" w:hAnsi="Cambria Math" w:eastAsia="宋体"/>
                <w:color w:val="auto"/>
                <w:sz w:val="28"/>
                <w:szCs w:val="28"/>
                <w:highlight w:val="none"/>
              </w:rPr>
            </m:ctrlPr>
          </m:num>
          <m:den>
            <m:r>
              <m:rPr>
                <m:sty m:val="p"/>
              </m:rPr>
              <w:rPr>
                <w:rFonts w:ascii="Cambria Math" w:hAnsi="Cambria Math" w:eastAsia="宋体"/>
                <w:color w:val="auto"/>
                <w:sz w:val="28"/>
                <w:szCs w:val="28"/>
                <w:highlight w:val="none"/>
              </w:rPr>
              <m:t>a</m:t>
            </m:r>
            <m:ctrlPr>
              <w:rPr>
                <w:rFonts w:ascii="Cambria Math" w:hAnsi="Cambria Math" w:eastAsia="宋体"/>
                <w:color w:val="auto"/>
                <w:sz w:val="28"/>
                <w:szCs w:val="28"/>
                <w:highlight w:val="none"/>
              </w:rPr>
            </m:ctrlPr>
          </m:den>
        </m:f>
      </m:oMath>
      <w:r>
        <w:rPr>
          <w:rFonts w:hint="eastAsia" w:ascii="宋体" w:hAnsi="宋体"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教</w:t>
      </w:r>
      <w:r>
        <w:rPr>
          <w:rFonts w:hint="eastAsia" w:eastAsia="宋体"/>
          <w:color w:val="auto"/>
          <w:sz w:val="28"/>
          <w:szCs w:val="28"/>
          <w:highlight w:val="none"/>
          <w:vertAlign w:val="subscript"/>
        </w:rPr>
        <w:t>研</w:t>
      </w:r>
      <w:r>
        <w:rPr>
          <w:rFonts w:eastAsia="宋体"/>
          <w:color w:val="auto"/>
          <w:sz w:val="28"/>
          <w:szCs w:val="28"/>
          <w:highlight w:val="none"/>
          <w:vertAlign w:val="subscript"/>
        </w:rPr>
        <w:t>业绩</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科研业绩</w:t>
      </w:r>
      <w:r>
        <w:rPr>
          <w:rFonts w:eastAsia="宋体"/>
          <w:color w:val="auto"/>
          <w:sz w:val="28"/>
          <w:szCs w:val="28"/>
          <w:highlight w:val="none"/>
        </w:rPr>
        <w:t>)+</w:t>
      </w:r>
      <w:r>
        <w:rPr>
          <w:rFonts w:hint="eastAsia" w:ascii="宋体" w:hAnsi="宋体" w:eastAsia="宋体"/>
          <w:i/>
          <w:color w:val="auto"/>
          <w:sz w:val="28"/>
          <w:szCs w:val="28"/>
          <w:highlight w:val="none"/>
        </w:rPr>
        <w:t>b</w:t>
      </w:r>
      <w:r>
        <w:rPr>
          <w:rFonts w:hint="eastAsia" w:ascii="宋体" w:hAnsi="宋体"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公共服务</w:t>
      </w:r>
      <w:r>
        <w:rPr>
          <w:rFonts w:hint="eastAsia" w:eastAsia="宋体"/>
          <w:color w:val="auto"/>
          <w:sz w:val="28"/>
          <w:szCs w:val="28"/>
          <w:highlight w:val="none"/>
        </w:rPr>
        <w:t>。其中</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教</w:t>
      </w:r>
      <w:r>
        <w:rPr>
          <w:rFonts w:hint="eastAsia" w:eastAsia="宋体"/>
          <w:color w:val="auto"/>
          <w:sz w:val="28"/>
          <w:szCs w:val="28"/>
          <w:highlight w:val="none"/>
          <w:vertAlign w:val="subscript"/>
        </w:rPr>
        <w:t>研</w:t>
      </w:r>
      <w:r>
        <w:rPr>
          <w:rFonts w:eastAsia="宋体"/>
          <w:color w:val="auto"/>
          <w:sz w:val="28"/>
          <w:szCs w:val="28"/>
          <w:highlight w:val="none"/>
          <w:vertAlign w:val="subscript"/>
        </w:rPr>
        <w:t>业绩</w:t>
      </w:r>
      <w:r>
        <w:rPr>
          <w:rFonts w:hint="eastAsia"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科研业绩</w:t>
      </w:r>
      <w:r>
        <w:rPr>
          <w:rFonts w:hint="eastAsia"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公共服务</w:t>
      </w:r>
      <w:r>
        <w:rPr>
          <w:rFonts w:hint="eastAsia" w:eastAsia="宋体"/>
          <w:color w:val="auto"/>
          <w:sz w:val="28"/>
          <w:szCs w:val="28"/>
          <w:highlight w:val="none"/>
        </w:rPr>
        <w:t>同专任教师，</w:t>
      </w:r>
      <w:r>
        <w:rPr>
          <w:rFonts w:hint="eastAsia" w:ascii="宋体" w:hAnsi="宋体" w:eastAsia="宋体"/>
          <w:i/>
          <w:color w:val="auto"/>
          <w:sz w:val="28"/>
          <w:szCs w:val="28"/>
          <w:highlight w:val="none"/>
        </w:rPr>
        <w:t>a</w:t>
      </w:r>
      <w:r>
        <w:rPr>
          <w:rFonts w:hint="eastAsia" w:ascii="宋体" w:hAnsi="宋体" w:eastAsia="宋体"/>
          <w:color w:val="auto"/>
          <w:sz w:val="28"/>
          <w:szCs w:val="28"/>
          <w:highlight w:val="none"/>
        </w:rPr>
        <w:t>,</w:t>
      </w:r>
      <w:r>
        <w:rPr>
          <w:rFonts w:hint="eastAsia" w:ascii="宋体" w:hAnsi="宋体" w:eastAsia="宋体"/>
          <w:i/>
          <w:color w:val="auto"/>
          <w:sz w:val="28"/>
          <w:szCs w:val="28"/>
          <w:highlight w:val="none"/>
        </w:rPr>
        <w:t>b</w:t>
      </w:r>
      <w:r>
        <w:rPr>
          <w:rFonts w:eastAsia="宋体"/>
          <w:color w:val="auto"/>
          <w:sz w:val="28"/>
          <w:szCs w:val="28"/>
          <w:highlight w:val="none"/>
        </w:rPr>
        <w:t>为换算比例系数</w:t>
      </w:r>
      <w:r>
        <w:rPr>
          <w:rFonts w:hint="eastAsia" w:eastAsia="宋体"/>
          <w:color w:val="auto"/>
          <w:sz w:val="28"/>
          <w:szCs w:val="28"/>
          <w:highlight w:val="none"/>
        </w:rPr>
        <w:t>，取值视具体</w:t>
      </w:r>
      <w:r>
        <w:rPr>
          <w:rFonts w:eastAsia="宋体"/>
          <w:color w:val="auto"/>
          <w:sz w:val="28"/>
          <w:szCs w:val="28"/>
          <w:highlight w:val="none"/>
        </w:rPr>
        <w:t>情况而定</w:t>
      </w:r>
      <w:r>
        <w:rPr>
          <w:rFonts w:hint="eastAsia" w:eastAsia="宋体"/>
          <w:color w:val="auto"/>
          <w:sz w:val="28"/>
          <w:szCs w:val="28"/>
          <w:highlight w:val="none"/>
        </w:rPr>
        <w:t>。</w:t>
      </w:r>
      <w:r>
        <w:rPr>
          <w:rFonts w:eastAsia="宋体"/>
          <w:i/>
          <w:iCs/>
          <w:color w:val="auto"/>
          <w:sz w:val="28"/>
          <w:szCs w:val="28"/>
          <w:highlight w:val="none"/>
        </w:rPr>
        <w:t>G</w:t>
      </w:r>
      <w:r>
        <w:rPr>
          <w:rFonts w:hint="eastAsia" w:eastAsia="宋体"/>
          <w:color w:val="auto"/>
          <w:sz w:val="28"/>
          <w:szCs w:val="28"/>
          <w:highlight w:val="none"/>
          <w:vertAlign w:val="subscript"/>
        </w:rPr>
        <w:t>实验</w:t>
      </w:r>
      <w:r>
        <w:rPr>
          <w:rFonts w:eastAsia="宋体"/>
          <w:color w:val="auto"/>
          <w:sz w:val="28"/>
          <w:szCs w:val="28"/>
          <w:highlight w:val="none"/>
          <w:vertAlign w:val="subscript"/>
        </w:rPr>
        <w:t>教学</w:t>
      </w:r>
      <w:r>
        <w:rPr>
          <w:rFonts w:hint="eastAsia" w:eastAsia="宋体"/>
          <w:color w:val="auto"/>
          <w:sz w:val="28"/>
          <w:szCs w:val="28"/>
          <w:highlight w:val="none"/>
        </w:rPr>
        <w:t>计算</w:t>
      </w:r>
      <w:r>
        <w:rPr>
          <w:rFonts w:eastAsia="宋体"/>
          <w:color w:val="auto"/>
          <w:sz w:val="28"/>
          <w:szCs w:val="28"/>
          <w:highlight w:val="none"/>
        </w:rPr>
        <w:t>按照《南通大学</w:t>
      </w:r>
      <w:r>
        <w:rPr>
          <w:rFonts w:hint="eastAsia" w:eastAsia="宋体"/>
          <w:color w:val="auto"/>
          <w:sz w:val="28"/>
          <w:szCs w:val="28"/>
          <w:highlight w:val="none"/>
        </w:rPr>
        <w:t>机械工程</w:t>
      </w:r>
      <w:r>
        <w:rPr>
          <w:rFonts w:eastAsia="宋体"/>
          <w:color w:val="auto"/>
          <w:sz w:val="28"/>
          <w:szCs w:val="28"/>
          <w:highlight w:val="none"/>
        </w:rPr>
        <w:t>学院教学工作量计算办法》文件执行</w:t>
      </w:r>
      <w:r>
        <w:rPr>
          <w:rFonts w:hint="eastAsia" w:eastAsia="宋体"/>
          <w:color w:val="auto"/>
          <w:sz w:val="28"/>
          <w:szCs w:val="28"/>
          <w:highlight w:val="none"/>
        </w:rPr>
        <w:t>。</w:t>
      </w:r>
      <w:r>
        <w:rPr>
          <w:rFonts w:eastAsia="宋体"/>
          <w:i/>
          <w:iCs/>
          <w:color w:val="auto"/>
          <w:sz w:val="28"/>
          <w:szCs w:val="28"/>
          <w:highlight w:val="none"/>
        </w:rPr>
        <w:t>G</w:t>
      </w:r>
      <w:r>
        <w:rPr>
          <w:rFonts w:hint="eastAsia" w:eastAsia="宋体"/>
          <w:color w:val="auto"/>
          <w:sz w:val="28"/>
          <w:szCs w:val="28"/>
          <w:highlight w:val="none"/>
          <w:vertAlign w:val="subscript"/>
        </w:rPr>
        <w:t>实验管理</w:t>
      </w:r>
      <w:r>
        <w:rPr>
          <w:rFonts w:hint="eastAsia" w:eastAsia="宋体"/>
          <w:color w:val="auto"/>
          <w:sz w:val="28"/>
          <w:szCs w:val="28"/>
          <w:highlight w:val="none"/>
        </w:rPr>
        <w:t>计算办法，如果</w:t>
      </w:r>
      <w:r>
        <w:rPr>
          <w:rFonts w:eastAsia="宋体"/>
          <w:color w:val="auto"/>
          <w:sz w:val="28"/>
          <w:szCs w:val="28"/>
          <w:highlight w:val="none"/>
        </w:rPr>
        <w:t>实验</w:t>
      </w:r>
      <w:r>
        <w:rPr>
          <w:rFonts w:hint="eastAsia" w:eastAsia="宋体"/>
          <w:color w:val="auto"/>
          <w:sz w:val="28"/>
          <w:szCs w:val="28"/>
          <w:highlight w:val="none"/>
        </w:rPr>
        <w:t>技术</w:t>
      </w:r>
      <w:r>
        <w:rPr>
          <w:rFonts w:eastAsia="宋体"/>
          <w:color w:val="auto"/>
          <w:sz w:val="28"/>
          <w:szCs w:val="28"/>
          <w:highlight w:val="none"/>
        </w:rPr>
        <w:t>人员满足考勤要求，完成</w:t>
      </w:r>
      <w:r>
        <w:rPr>
          <w:rFonts w:hint="eastAsia" w:eastAsia="宋体"/>
          <w:color w:val="auto"/>
          <w:sz w:val="28"/>
          <w:szCs w:val="28"/>
          <w:highlight w:val="none"/>
        </w:rPr>
        <w:t>学院下达</w:t>
      </w:r>
      <w:r>
        <w:rPr>
          <w:rFonts w:eastAsia="宋体"/>
          <w:color w:val="auto"/>
          <w:sz w:val="28"/>
          <w:szCs w:val="28"/>
          <w:highlight w:val="none"/>
        </w:rPr>
        <w:t>的</w:t>
      </w:r>
      <w:r>
        <w:rPr>
          <w:rFonts w:hint="eastAsia" w:eastAsia="宋体"/>
          <w:color w:val="auto"/>
          <w:sz w:val="28"/>
          <w:szCs w:val="28"/>
          <w:highlight w:val="none"/>
        </w:rPr>
        <w:t>实验室</w:t>
      </w:r>
      <w:r>
        <w:rPr>
          <w:rFonts w:eastAsia="宋体"/>
          <w:color w:val="auto"/>
          <w:sz w:val="28"/>
          <w:szCs w:val="28"/>
          <w:highlight w:val="none"/>
        </w:rPr>
        <w:t>管理</w:t>
      </w:r>
      <w:r>
        <w:rPr>
          <w:rFonts w:hint="eastAsia" w:eastAsia="宋体"/>
          <w:color w:val="auto"/>
          <w:sz w:val="28"/>
          <w:szCs w:val="28"/>
          <w:highlight w:val="none"/>
        </w:rPr>
        <w:t>任务</w:t>
      </w:r>
      <w:r>
        <w:rPr>
          <w:rFonts w:eastAsia="宋体"/>
          <w:color w:val="auto"/>
          <w:sz w:val="28"/>
          <w:szCs w:val="28"/>
          <w:highlight w:val="none"/>
        </w:rPr>
        <w:t>，同时无重大工作失误和其他影响学院声誉行为的视为满足</w:t>
      </w:r>
      <w:r>
        <w:rPr>
          <w:rFonts w:hint="eastAsia" w:eastAsia="宋体"/>
          <w:color w:val="auto"/>
          <w:sz w:val="28"/>
          <w:szCs w:val="28"/>
          <w:highlight w:val="none"/>
        </w:rPr>
        <w:t>实验管理</w:t>
      </w:r>
      <w:r>
        <w:rPr>
          <w:rFonts w:eastAsia="宋体"/>
          <w:color w:val="auto"/>
          <w:sz w:val="28"/>
          <w:szCs w:val="28"/>
          <w:highlight w:val="none"/>
        </w:rPr>
        <w:t>岗位考核要求，</w:t>
      </w:r>
      <w:r>
        <w:rPr>
          <w:rFonts w:eastAsia="宋体"/>
          <w:i/>
          <w:iCs/>
          <w:color w:val="auto"/>
          <w:sz w:val="28"/>
          <w:szCs w:val="28"/>
          <w:highlight w:val="none"/>
        </w:rPr>
        <w:t>G</w:t>
      </w:r>
      <w:r>
        <w:rPr>
          <w:rFonts w:hint="eastAsia" w:eastAsia="宋体"/>
          <w:color w:val="auto"/>
          <w:sz w:val="28"/>
          <w:szCs w:val="28"/>
          <w:highlight w:val="none"/>
          <w:vertAlign w:val="subscript"/>
        </w:rPr>
        <w:t>实验管理</w:t>
      </w:r>
      <w:r>
        <w:rPr>
          <w:rFonts w:hint="eastAsia" w:eastAsia="宋体"/>
          <w:color w:val="auto"/>
          <w:sz w:val="28"/>
          <w:szCs w:val="28"/>
          <w:highlight w:val="none"/>
        </w:rPr>
        <w:t>根据分管实验室开设实验课程、实践课程、实验室开放时长的一定比例折算，具体折算比例由学院绩效工资实施工作小组确定</w:t>
      </w:r>
      <w:r>
        <w:rPr>
          <w:rFonts w:eastAsia="宋体"/>
          <w:color w:val="auto"/>
          <w:sz w:val="28"/>
          <w:szCs w:val="28"/>
          <w:highlight w:val="none"/>
        </w:rPr>
        <w:t>。</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实验</w:t>
      </w:r>
      <w:r>
        <w:rPr>
          <w:rFonts w:hint="eastAsia" w:eastAsia="宋体"/>
          <w:color w:val="auto"/>
          <w:sz w:val="28"/>
          <w:szCs w:val="28"/>
          <w:highlight w:val="none"/>
        </w:rPr>
        <w:t>技术</w:t>
      </w:r>
      <w:r>
        <w:rPr>
          <w:rFonts w:eastAsia="宋体"/>
          <w:color w:val="auto"/>
          <w:sz w:val="28"/>
          <w:szCs w:val="28"/>
          <w:highlight w:val="none"/>
        </w:rPr>
        <w:t>人员设定相应档级的基本工作任务标准</w:t>
      </w:r>
      <w:r>
        <w:rPr>
          <w:rFonts w:hint="eastAsia" w:eastAsia="宋体"/>
          <w:color w:val="auto"/>
          <w:sz w:val="28"/>
          <w:szCs w:val="28"/>
          <w:highlight w:val="none"/>
        </w:rPr>
        <w:t>同</w:t>
      </w:r>
      <w:r>
        <w:rPr>
          <w:rFonts w:eastAsia="宋体"/>
          <w:color w:val="auto"/>
          <w:sz w:val="28"/>
          <w:szCs w:val="28"/>
          <w:highlight w:val="none"/>
        </w:rPr>
        <w:t>教学科研人员相应档级的基本工作任务标准</w:t>
      </w:r>
      <w:r>
        <w:rPr>
          <w:rFonts w:eastAsia="宋体"/>
          <w:i/>
          <w:iCs/>
          <w:color w:val="auto"/>
          <w:sz w:val="28"/>
          <w:szCs w:val="28"/>
          <w:highlight w:val="none"/>
        </w:rPr>
        <w:t>G</w:t>
      </w:r>
      <w:r>
        <w:rPr>
          <w:rFonts w:eastAsia="宋体"/>
          <w:color w:val="auto"/>
          <w:sz w:val="28"/>
          <w:szCs w:val="28"/>
          <w:highlight w:val="none"/>
          <w:vertAlign w:val="subscript"/>
        </w:rPr>
        <w:t>档n</w:t>
      </w:r>
      <w:r>
        <w:rPr>
          <w:rFonts w:hint="eastAsia" w:eastAsia="宋体"/>
          <w:color w:val="auto"/>
          <w:sz w:val="28"/>
          <w:szCs w:val="28"/>
          <w:highlight w:val="none"/>
          <w:vertAlign w:val="subscript"/>
        </w:rPr>
        <w:t>,</w:t>
      </w:r>
      <w:r>
        <w:rPr>
          <w:rFonts w:eastAsia="宋体"/>
          <w:color w:val="auto"/>
          <w:sz w:val="28"/>
          <w:szCs w:val="28"/>
          <w:highlight w:val="none"/>
          <w:vertAlign w:val="subscript"/>
        </w:rPr>
        <w:t>标</w:t>
      </w:r>
      <w:r>
        <w:rPr>
          <w:rFonts w:eastAsia="宋体"/>
          <w:color w:val="auto"/>
          <w:sz w:val="28"/>
          <w:szCs w:val="28"/>
          <w:highlight w:val="none"/>
        </w:rPr>
        <w:t>，对于</w:t>
      </w:r>
      <w:r>
        <w:rPr>
          <w:rFonts w:eastAsia="宋体"/>
          <w:i/>
          <w:iCs/>
          <w:color w:val="auto"/>
          <w:sz w:val="28"/>
          <w:szCs w:val="28"/>
          <w:highlight w:val="none"/>
        </w:rPr>
        <w:t>G’</w:t>
      </w:r>
      <w:r>
        <w:rPr>
          <w:rFonts w:eastAsia="宋体"/>
          <w:color w:val="auto"/>
          <w:sz w:val="28"/>
          <w:szCs w:val="28"/>
          <w:highlight w:val="none"/>
          <w:vertAlign w:val="subscript"/>
        </w:rPr>
        <w:t>总</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档n</w:t>
      </w:r>
      <w:r>
        <w:rPr>
          <w:rFonts w:hint="eastAsia" w:eastAsia="宋体"/>
          <w:color w:val="auto"/>
          <w:sz w:val="28"/>
          <w:szCs w:val="28"/>
          <w:highlight w:val="none"/>
          <w:vertAlign w:val="subscript"/>
        </w:rPr>
        <w:t>,</w:t>
      </w:r>
      <w:r>
        <w:rPr>
          <w:rFonts w:eastAsia="宋体"/>
          <w:color w:val="auto"/>
          <w:sz w:val="28"/>
          <w:szCs w:val="28"/>
          <w:highlight w:val="none"/>
          <w:vertAlign w:val="subscript"/>
        </w:rPr>
        <w:t>标</w:t>
      </w:r>
      <w:r>
        <w:rPr>
          <w:rFonts w:eastAsia="宋体"/>
          <w:color w:val="auto"/>
          <w:sz w:val="28"/>
          <w:szCs w:val="28"/>
          <w:highlight w:val="none"/>
        </w:rPr>
        <w:t>的实验室管理人员，发放全年岗位奖励津贴。对于</w:t>
      </w:r>
      <w:r>
        <w:rPr>
          <w:rFonts w:eastAsia="宋体"/>
          <w:i/>
          <w:iCs/>
          <w:color w:val="auto"/>
          <w:sz w:val="28"/>
          <w:szCs w:val="28"/>
          <w:highlight w:val="none"/>
        </w:rPr>
        <w:t>G’</w:t>
      </w:r>
      <w:r>
        <w:rPr>
          <w:rFonts w:eastAsia="宋体"/>
          <w:color w:val="auto"/>
          <w:sz w:val="28"/>
          <w:szCs w:val="28"/>
          <w:highlight w:val="none"/>
          <w:vertAlign w:val="subscript"/>
        </w:rPr>
        <w:t>总</w:t>
      </w:r>
      <w:r>
        <w:rPr>
          <w:rFonts w:eastAsia="宋体"/>
          <w:color w:val="auto"/>
          <w:sz w:val="28"/>
          <w:szCs w:val="28"/>
          <w:highlight w:val="none"/>
        </w:rPr>
        <w:t>&lt;</w:t>
      </w:r>
      <w:r>
        <w:rPr>
          <w:rFonts w:eastAsia="宋体"/>
          <w:i/>
          <w:iCs/>
          <w:color w:val="auto"/>
          <w:sz w:val="28"/>
          <w:szCs w:val="28"/>
          <w:highlight w:val="none"/>
        </w:rPr>
        <w:t>G</w:t>
      </w:r>
      <w:r>
        <w:rPr>
          <w:rFonts w:eastAsia="宋体"/>
          <w:color w:val="auto"/>
          <w:sz w:val="28"/>
          <w:szCs w:val="28"/>
          <w:highlight w:val="none"/>
          <w:vertAlign w:val="subscript"/>
        </w:rPr>
        <w:t>档n</w:t>
      </w:r>
      <w:r>
        <w:rPr>
          <w:rFonts w:hint="eastAsia" w:eastAsia="宋体"/>
          <w:color w:val="auto"/>
          <w:sz w:val="28"/>
          <w:szCs w:val="28"/>
          <w:highlight w:val="none"/>
          <w:vertAlign w:val="subscript"/>
        </w:rPr>
        <w:t>,</w:t>
      </w:r>
      <w:r>
        <w:rPr>
          <w:rFonts w:eastAsia="宋体"/>
          <w:color w:val="auto"/>
          <w:sz w:val="28"/>
          <w:szCs w:val="28"/>
          <w:highlight w:val="none"/>
          <w:vertAlign w:val="subscript"/>
        </w:rPr>
        <w:t>标</w:t>
      </w:r>
      <w:r>
        <w:rPr>
          <w:rFonts w:eastAsia="宋体"/>
          <w:color w:val="auto"/>
          <w:sz w:val="28"/>
          <w:szCs w:val="28"/>
          <w:highlight w:val="none"/>
        </w:rPr>
        <w:t>的实验室管理人员，扣发岗位奖励津贴</w:t>
      </w:r>
      <w:r>
        <w:rPr>
          <w:rFonts w:hint="eastAsia" w:eastAsia="宋体"/>
          <w:color w:val="auto"/>
          <w:sz w:val="28"/>
          <w:szCs w:val="28"/>
          <w:highlight w:val="none"/>
        </w:rPr>
        <w:t>=n</w:t>
      </w:r>
      <w:r>
        <w:rPr>
          <w:rFonts w:eastAsia="宋体"/>
          <w:color w:val="auto"/>
          <w:sz w:val="28"/>
          <w:szCs w:val="28"/>
          <w:highlight w:val="none"/>
        </w:rPr>
        <w:t>×η×</w:t>
      </w:r>
      <w:r>
        <w:rPr>
          <w:rFonts w:hint="eastAsia" w:eastAsia="宋体"/>
          <w:color w:val="auto"/>
          <w:sz w:val="28"/>
          <w:szCs w:val="28"/>
          <w:highlight w:val="none"/>
        </w:rPr>
        <w:t>一个月</w:t>
      </w:r>
      <w:r>
        <w:rPr>
          <w:rFonts w:eastAsia="宋体"/>
          <w:color w:val="auto"/>
          <w:sz w:val="28"/>
          <w:szCs w:val="28"/>
          <w:highlight w:val="none"/>
        </w:rPr>
        <w:t>岗位奖励津贴，η=（</w:t>
      </w:r>
      <w:r>
        <w:rPr>
          <w:rFonts w:eastAsia="宋体"/>
          <w:i/>
          <w:iCs/>
          <w:color w:val="auto"/>
          <w:sz w:val="28"/>
          <w:szCs w:val="28"/>
          <w:highlight w:val="none"/>
        </w:rPr>
        <w:t>G</w:t>
      </w:r>
      <w:r>
        <w:rPr>
          <w:rFonts w:eastAsia="宋体"/>
          <w:color w:val="auto"/>
          <w:sz w:val="28"/>
          <w:szCs w:val="28"/>
          <w:highlight w:val="none"/>
          <w:vertAlign w:val="subscript"/>
        </w:rPr>
        <w:t>档n,标</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总</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档n,标</w:t>
      </w:r>
      <w:r>
        <w:rPr>
          <w:rFonts w:hint="eastAsia" w:eastAsia="宋体"/>
          <w:color w:val="auto"/>
          <w:sz w:val="28"/>
          <w:szCs w:val="28"/>
          <w:highlight w:val="none"/>
        </w:rPr>
        <w:t>，n为系数</w:t>
      </w:r>
      <w:r>
        <w:rPr>
          <w:rFonts w:eastAsia="宋体"/>
          <w:color w:val="auto"/>
          <w:sz w:val="28"/>
          <w:szCs w:val="28"/>
          <w:highlight w:val="none"/>
        </w:rPr>
        <w:t>。</w:t>
      </w:r>
    </w:p>
    <w:p>
      <w:pPr>
        <w:pStyle w:val="8"/>
        <w:ind w:firstLine="562" w:firstLineChars="200"/>
        <w:jc w:val="both"/>
        <w:rPr>
          <w:rFonts w:eastAsia="宋体"/>
          <w:b/>
          <w:bCs/>
          <w:color w:val="auto"/>
          <w:sz w:val="28"/>
          <w:szCs w:val="28"/>
          <w:highlight w:val="none"/>
        </w:rPr>
      </w:pPr>
      <w:r>
        <w:rPr>
          <w:rFonts w:hint="eastAsia" w:eastAsia="宋体"/>
          <w:b/>
          <w:bCs/>
          <w:color w:val="auto"/>
          <w:sz w:val="28"/>
          <w:szCs w:val="28"/>
          <w:highlight w:val="none"/>
        </w:rPr>
        <w:t>（2）党政管理人员</w:t>
      </w:r>
    </w:p>
    <w:p>
      <w:pPr>
        <w:pStyle w:val="8"/>
        <w:ind w:firstLine="560" w:firstLineChars="200"/>
        <w:jc w:val="both"/>
        <w:rPr>
          <w:rFonts w:eastAsia="宋体"/>
          <w:color w:val="auto"/>
          <w:sz w:val="28"/>
          <w:szCs w:val="28"/>
          <w:highlight w:val="none"/>
        </w:rPr>
      </w:pPr>
      <w:r>
        <w:rPr>
          <w:rFonts w:hint="eastAsia" w:eastAsia="宋体"/>
          <w:color w:val="auto"/>
          <w:sz w:val="28"/>
          <w:szCs w:val="28"/>
          <w:highlight w:val="none"/>
        </w:rPr>
        <w:t>党政管理人员</w:t>
      </w:r>
      <w:r>
        <w:rPr>
          <w:rFonts w:eastAsia="宋体"/>
          <w:color w:val="auto"/>
          <w:sz w:val="28"/>
          <w:szCs w:val="28"/>
          <w:highlight w:val="none"/>
        </w:rPr>
        <w:t>满足考勤要求，完成</w:t>
      </w:r>
      <w:r>
        <w:rPr>
          <w:rFonts w:hint="eastAsia" w:eastAsia="宋体"/>
          <w:color w:val="auto"/>
          <w:sz w:val="28"/>
          <w:szCs w:val="28"/>
          <w:highlight w:val="none"/>
        </w:rPr>
        <w:t>学院下达的工作任务</w:t>
      </w:r>
      <w:r>
        <w:rPr>
          <w:rFonts w:eastAsia="宋体"/>
          <w:color w:val="auto"/>
          <w:sz w:val="28"/>
          <w:szCs w:val="28"/>
          <w:highlight w:val="none"/>
        </w:rPr>
        <w:t>，同时无重大工作失误和其他影响学院声誉行为的视为满足岗位考核要求，发放全年岗位奖励津贴</w:t>
      </w:r>
      <w:r>
        <w:rPr>
          <w:rFonts w:hint="eastAsia" w:eastAsia="宋体"/>
          <w:color w:val="auto"/>
          <w:sz w:val="28"/>
          <w:szCs w:val="28"/>
          <w:highlight w:val="none"/>
        </w:rPr>
        <w:t>。</w:t>
      </w:r>
    </w:p>
    <w:p>
      <w:pPr>
        <w:pStyle w:val="8"/>
        <w:ind w:firstLine="562" w:firstLineChars="200"/>
        <w:rPr>
          <w:rFonts w:eastAsia="宋体"/>
          <w:b/>
          <w:color w:val="auto"/>
          <w:sz w:val="28"/>
          <w:szCs w:val="28"/>
          <w:highlight w:val="none"/>
        </w:rPr>
      </w:pPr>
      <w:r>
        <w:rPr>
          <w:rFonts w:eastAsia="宋体"/>
          <w:b/>
          <w:color w:val="auto"/>
          <w:sz w:val="28"/>
          <w:szCs w:val="28"/>
          <w:highlight w:val="none"/>
        </w:rPr>
        <w:t>2. 业绩考核与业绩奖励津贴分配</w:t>
      </w:r>
    </w:p>
    <w:p>
      <w:pPr>
        <w:pStyle w:val="8"/>
        <w:ind w:firstLine="560" w:firstLineChars="200"/>
        <w:rPr>
          <w:rFonts w:eastAsia="宋体"/>
          <w:color w:val="auto"/>
          <w:sz w:val="28"/>
          <w:szCs w:val="28"/>
          <w:highlight w:val="none"/>
        </w:rPr>
      </w:pPr>
      <w:r>
        <w:rPr>
          <w:rFonts w:eastAsia="宋体"/>
          <w:color w:val="auto"/>
          <w:sz w:val="28"/>
          <w:szCs w:val="28"/>
          <w:highlight w:val="none"/>
        </w:rPr>
        <w:t>学院业绩奖励津贴根据</w:t>
      </w:r>
      <w:r>
        <w:rPr>
          <w:rFonts w:hint="eastAsia" w:eastAsia="宋体"/>
          <w:color w:val="auto"/>
          <w:sz w:val="28"/>
          <w:szCs w:val="28"/>
          <w:highlight w:val="none"/>
        </w:rPr>
        <w:t>专业技术人员（含专任教师</w:t>
      </w:r>
      <w:r>
        <w:rPr>
          <w:rFonts w:eastAsia="宋体"/>
          <w:color w:val="auto"/>
          <w:sz w:val="28"/>
          <w:szCs w:val="28"/>
          <w:highlight w:val="none"/>
        </w:rPr>
        <w:t>、</w:t>
      </w:r>
      <w:r>
        <w:rPr>
          <w:rFonts w:hint="eastAsia" w:eastAsia="宋体"/>
          <w:color w:val="auto"/>
          <w:sz w:val="28"/>
          <w:szCs w:val="28"/>
          <w:highlight w:val="none"/>
        </w:rPr>
        <w:t>实验技术人员）和</w:t>
      </w:r>
      <w:r>
        <w:rPr>
          <w:rFonts w:eastAsia="宋体"/>
          <w:color w:val="auto"/>
          <w:sz w:val="28"/>
          <w:szCs w:val="28"/>
          <w:highlight w:val="none"/>
        </w:rPr>
        <w:t>党政管理</w:t>
      </w:r>
      <w:r>
        <w:rPr>
          <w:rFonts w:hint="eastAsia" w:eastAsia="宋体"/>
          <w:color w:val="auto"/>
          <w:sz w:val="28"/>
          <w:szCs w:val="28"/>
          <w:highlight w:val="none"/>
        </w:rPr>
        <w:t>人员分类</w:t>
      </w:r>
      <w:r>
        <w:rPr>
          <w:rFonts w:eastAsia="宋体"/>
          <w:color w:val="auto"/>
          <w:sz w:val="28"/>
          <w:szCs w:val="28"/>
          <w:highlight w:val="none"/>
        </w:rPr>
        <w:t>切块发放，或者按照各类人员岗位档级系数权重比例切块发放。</w:t>
      </w:r>
      <w:r>
        <w:rPr>
          <w:rFonts w:hint="eastAsia" w:eastAsia="宋体"/>
          <w:color w:val="auto"/>
          <w:sz w:val="28"/>
          <w:szCs w:val="28"/>
          <w:highlight w:val="none"/>
        </w:rPr>
        <w:t>切块方法和比例由学院绩效工资实施工作小组确定。</w:t>
      </w:r>
    </w:p>
    <w:p>
      <w:pPr>
        <w:pStyle w:val="8"/>
        <w:ind w:firstLine="422" w:firstLineChars="150"/>
        <w:rPr>
          <w:rFonts w:eastAsia="宋体"/>
          <w:b/>
          <w:color w:val="auto"/>
          <w:sz w:val="28"/>
          <w:szCs w:val="28"/>
          <w:highlight w:val="none"/>
        </w:rPr>
      </w:pPr>
      <w:r>
        <w:rPr>
          <w:rFonts w:hint="eastAsia" w:eastAsia="宋体"/>
          <w:b/>
          <w:color w:val="auto"/>
          <w:sz w:val="28"/>
          <w:szCs w:val="28"/>
          <w:highlight w:val="none"/>
        </w:rPr>
        <w:t>（1</w:t>
      </w:r>
      <w:r>
        <w:rPr>
          <w:rFonts w:eastAsia="宋体"/>
          <w:b/>
          <w:color w:val="auto"/>
          <w:sz w:val="28"/>
          <w:szCs w:val="28"/>
          <w:highlight w:val="none"/>
        </w:rPr>
        <w:t>）</w:t>
      </w:r>
      <w:r>
        <w:rPr>
          <w:rFonts w:hint="eastAsia" w:eastAsia="宋体"/>
          <w:b/>
          <w:color w:val="auto"/>
          <w:sz w:val="28"/>
          <w:szCs w:val="28"/>
          <w:highlight w:val="none"/>
        </w:rPr>
        <w:t>专业技术人员</w:t>
      </w:r>
    </w:p>
    <w:p>
      <w:pPr>
        <w:pStyle w:val="8"/>
        <w:ind w:firstLine="560" w:firstLineChars="200"/>
        <w:rPr>
          <w:rFonts w:eastAsia="宋体"/>
          <w:color w:val="auto"/>
          <w:sz w:val="28"/>
          <w:szCs w:val="28"/>
          <w:highlight w:val="none"/>
        </w:rPr>
      </w:pPr>
      <w:r>
        <w:rPr>
          <w:rFonts w:hint="eastAsia" w:eastAsia="宋体"/>
          <w:color w:val="auto"/>
          <w:sz w:val="28"/>
          <w:szCs w:val="28"/>
          <w:highlight w:val="none"/>
        </w:rPr>
        <w:t>专业技术</w:t>
      </w:r>
      <w:r>
        <w:rPr>
          <w:rFonts w:eastAsia="宋体"/>
          <w:color w:val="auto"/>
          <w:sz w:val="28"/>
          <w:szCs w:val="28"/>
          <w:highlight w:val="none"/>
        </w:rPr>
        <w:t>人员切块所得的业绩奖励津贴按照学校下拨的比例结合学院目标考核和未来发展的需要分为教学工作量业绩奖励津贴和教学科研业绩分奖励津贴两部分。</w:t>
      </w:r>
    </w:p>
    <w:p>
      <w:pPr>
        <w:pStyle w:val="8"/>
        <w:ind w:firstLine="560" w:firstLineChars="200"/>
        <w:rPr>
          <w:rFonts w:eastAsia="宋体"/>
          <w:strike/>
          <w:color w:val="auto"/>
          <w:sz w:val="28"/>
          <w:szCs w:val="28"/>
          <w:highlight w:val="none"/>
        </w:rPr>
      </w:pPr>
      <w:r>
        <w:rPr>
          <w:rFonts w:eastAsia="宋体"/>
          <w:color w:val="auto"/>
          <w:sz w:val="28"/>
          <w:szCs w:val="28"/>
          <w:highlight w:val="none"/>
        </w:rPr>
        <w:t>教学工作量津贴=教学工作量</w:t>
      </w:r>
      <w:r>
        <w:rPr>
          <w:rFonts w:eastAsia="宋体"/>
          <w:i/>
          <w:iCs/>
          <w:color w:val="auto"/>
          <w:sz w:val="28"/>
          <w:szCs w:val="28"/>
          <w:highlight w:val="none"/>
        </w:rPr>
        <w:t>G</w:t>
      </w:r>
      <w:r>
        <w:rPr>
          <w:rFonts w:eastAsia="宋体"/>
          <w:color w:val="auto"/>
          <w:sz w:val="28"/>
          <w:szCs w:val="28"/>
          <w:highlight w:val="none"/>
          <w:vertAlign w:val="subscript"/>
        </w:rPr>
        <w:t>教学</w:t>
      </w:r>
      <w:r>
        <w:rPr>
          <w:rFonts w:eastAsia="宋体"/>
          <w:color w:val="auto"/>
          <w:sz w:val="28"/>
          <w:szCs w:val="28"/>
          <w:highlight w:val="none"/>
        </w:rPr>
        <w:t>×教学工作量单价×</w:t>
      </w:r>
      <w:r>
        <w:rPr>
          <w:rFonts w:hint="eastAsia" w:eastAsia="宋体"/>
          <w:color w:val="auto"/>
          <w:sz w:val="28"/>
          <w:szCs w:val="28"/>
          <w:highlight w:val="none"/>
        </w:rPr>
        <w:t>职称系数</w:t>
      </w:r>
    </w:p>
    <w:p>
      <w:pPr>
        <w:pStyle w:val="8"/>
        <w:ind w:firstLine="560" w:firstLineChars="200"/>
        <w:rPr>
          <w:rFonts w:eastAsia="宋体"/>
          <w:color w:val="auto"/>
          <w:sz w:val="28"/>
          <w:szCs w:val="28"/>
          <w:highlight w:val="none"/>
        </w:rPr>
      </w:pPr>
      <w:r>
        <w:rPr>
          <w:rFonts w:eastAsia="宋体"/>
          <w:color w:val="auto"/>
          <w:sz w:val="28"/>
          <w:szCs w:val="28"/>
          <w:highlight w:val="none"/>
        </w:rPr>
        <w:t>教学科研业绩分津贴=教学科研业绩分</w:t>
      </w:r>
      <w:r>
        <w:rPr>
          <w:rFonts w:eastAsia="宋体"/>
          <w:i/>
          <w:iCs/>
          <w:color w:val="auto"/>
          <w:sz w:val="28"/>
          <w:szCs w:val="28"/>
          <w:highlight w:val="none"/>
        </w:rPr>
        <w:t>G</w:t>
      </w:r>
      <w:r>
        <w:rPr>
          <w:rFonts w:eastAsia="宋体"/>
          <w:color w:val="auto"/>
          <w:sz w:val="28"/>
          <w:szCs w:val="28"/>
          <w:highlight w:val="none"/>
          <w:vertAlign w:val="subscript"/>
        </w:rPr>
        <w:t>教科业绩分</w:t>
      </w:r>
      <w:r>
        <w:rPr>
          <w:rFonts w:eastAsia="宋体"/>
          <w:color w:val="auto"/>
          <w:sz w:val="28"/>
          <w:szCs w:val="28"/>
          <w:highlight w:val="none"/>
        </w:rPr>
        <w:t>×教学科研业绩分单价，其中，教学科研业绩分</w:t>
      </w:r>
      <w:r>
        <w:rPr>
          <w:rFonts w:eastAsia="宋体"/>
          <w:i/>
          <w:iCs/>
          <w:color w:val="auto"/>
          <w:sz w:val="28"/>
          <w:szCs w:val="28"/>
          <w:highlight w:val="none"/>
        </w:rPr>
        <w:t>G</w:t>
      </w:r>
      <w:r>
        <w:rPr>
          <w:rFonts w:eastAsia="宋体"/>
          <w:color w:val="auto"/>
          <w:sz w:val="28"/>
          <w:szCs w:val="28"/>
          <w:highlight w:val="none"/>
          <w:vertAlign w:val="subscript"/>
        </w:rPr>
        <w:t>教科业绩分</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教学业绩分</w:t>
      </w:r>
      <w:r>
        <w:rPr>
          <w:rFonts w:eastAsia="宋体"/>
          <w:color w:val="auto"/>
          <w:sz w:val="28"/>
          <w:szCs w:val="28"/>
          <w:highlight w:val="none"/>
        </w:rPr>
        <w:t>+</w:t>
      </w:r>
      <w:r>
        <w:rPr>
          <w:rFonts w:eastAsia="宋体"/>
          <w:i/>
          <w:iCs/>
          <w:color w:val="auto"/>
          <w:sz w:val="28"/>
          <w:szCs w:val="28"/>
          <w:highlight w:val="none"/>
        </w:rPr>
        <w:t>G</w:t>
      </w:r>
      <w:r>
        <w:rPr>
          <w:rFonts w:eastAsia="宋体"/>
          <w:color w:val="auto"/>
          <w:sz w:val="28"/>
          <w:szCs w:val="28"/>
          <w:highlight w:val="none"/>
          <w:vertAlign w:val="subscript"/>
        </w:rPr>
        <w:t>科研业绩分</w:t>
      </w:r>
      <w:r>
        <w:rPr>
          <w:rFonts w:eastAsia="宋体"/>
          <w:color w:val="auto"/>
          <w:sz w:val="28"/>
          <w:szCs w:val="28"/>
          <w:highlight w:val="none"/>
        </w:rPr>
        <w:t>。</w:t>
      </w:r>
    </w:p>
    <w:p>
      <w:pPr>
        <w:pStyle w:val="8"/>
        <w:ind w:firstLine="562" w:firstLineChars="200"/>
        <w:rPr>
          <w:rFonts w:eastAsia="宋体"/>
          <w:b/>
          <w:color w:val="auto"/>
          <w:sz w:val="28"/>
          <w:szCs w:val="28"/>
          <w:highlight w:val="none"/>
        </w:rPr>
      </w:pPr>
      <w:r>
        <w:rPr>
          <w:rFonts w:hint="eastAsia" w:eastAsia="宋体"/>
          <w:b/>
          <w:color w:val="auto"/>
          <w:sz w:val="28"/>
          <w:szCs w:val="28"/>
          <w:highlight w:val="none"/>
        </w:rPr>
        <w:t>（2</w:t>
      </w:r>
      <w:r>
        <w:rPr>
          <w:rFonts w:eastAsia="宋体"/>
          <w:b/>
          <w:color w:val="auto"/>
          <w:sz w:val="28"/>
          <w:szCs w:val="28"/>
          <w:highlight w:val="none"/>
        </w:rPr>
        <w:t>）</w:t>
      </w:r>
      <w:r>
        <w:rPr>
          <w:rFonts w:hint="eastAsia" w:eastAsia="宋体"/>
          <w:b/>
          <w:color w:val="auto"/>
          <w:sz w:val="28"/>
          <w:szCs w:val="28"/>
          <w:highlight w:val="none"/>
        </w:rPr>
        <w:t>党政管理人员</w:t>
      </w:r>
    </w:p>
    <w:p>
      <w:pPr>
        <w:pStyle w:val="8"/>
        <w:ind w:firstLine="560" w:firstLineChars="200"/>
        <w:rPr>
          <w:rFonts w:eastAsia="宋体"/>
          <w:color w:val="auto"/>
          <w:sz w:val="28"/>
          <w:szCs w:val="28"/>
          <w:highlight w:val="none"/>
        </w:rPr>
      </w:pPr>
      <w:r>
        <w:rPr>
          <w:rFonts w:hint="eastAsia" w:eastAsia="宋体"/>
          <w:color w:val="auto"/>
          <w:sz w:val="28"/>
          <w:szCs w:val="28"/>
          <w:highlight w:val="none"/>
        </w:rPr>
        <w:t>党政管理人员（含学院领导）的业绩奖励津贴在切块范围内，依据学校核定的年度岗位档级系数及比例发放。</w:t>
      </w:r>
    </w:p>
    <w:p>
      <w:pPr>
        <w:pStyle w:val="8"/>
        <w:ind w:firstLine="560" w:firstLineChars="200"/>
        <w:rPr>
          <w:rFonts w:eastAsia="宋体"/>
          <w:color w:val="auto"/>
          <w:sz w:val="28"/>
          <w:szCs w:val="28"/>
          <w:highlight w:val="none"/>
        </w:rPr>
      </w:pPr>
      <w:r>
        <w:rPr>
          <w:rFonts w:hint="eastAsia" w:eastAsia="宋体"/>
          <w:color w:val="auto"/>
          <w:sz w:val="28"/>
          <w:szCs w:val="28"/>
          <w:highlight w:val="none"/>
        </w:rPr>
        <w:t>专职学生管理人员业绩奖励津贴分配办法按学校相关规定执行。选择专业技术岗位的人员，根据学工条块定档等级进行分配；选择管理岗位的人员，按学院党政管理人员进行考核与分配。</w:t>
      </w:r>
    </w:p>
    <w:p>
      <w:pPr>
        <w:pStyle w:val="8"/>
        <w:ind w:firstLine="562" w:firstLineChars="200"/>
        <w:rPr>
          <w:rFonts w:eastAsia="宋体"/>
          <w:b/>
          <w:color w:val="auto"/>
          <w:sz w:val="28"/>
          <w:szCs w:val="28"/>
          <w:highlight w:val="none"/>
        </w:rPr>
      </w:pPr>
      <w:r>
        <w:rPr>
          <w:rFonts w:eastAsia="宋体"/>
          <w:b/>
          <w:color w:val="auto"/>
          <w:sz w:val="28"/>
          <w:szCs w:val="28"/>
          <w:highlight w:val="none"/>
        </w:rPr>
        <w:t>3.其他专项考核与专</w:t>
      </w:r>
      <w:bookmarkStart w:id="0" w:name="_GoBack"/>
      <w:bookmarkEnd w:id="0"/>
      <w:r>
        <w:rPr>
          <w:rFonts w:eastAsia="宋体"/>
          <w:b/>
          <w:color w:val="auto"/>
          <w:sz w:val="28"/>
          <w:szCs w:val="28"/>
          <w:highlight w:val="none"/>
        </w:rPr>
        <w:t>项奖励津贴分配</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学院对未纳入岗位奖励津贴和业绩奖励津贴奖励范围内，但对学院学科专业建设、目标责任制考核</w:t>
      </w:r>
      <w:r>
        <w:rPr>
          <w:rFonts w:hint="eastAsia" w:eastAsia="宋体"/>
          <w:color w:val="auto"/>
          <w:sz w:val="28"/>
          <w:szCs w:val="28"/>
          <w:highlight w:val="none"/>
        </w:rPr>
        <w:t>、</w:t>
      </w:r>
      <w:r>
        <w:rPr>
          <w:rFonts w:eastAsia="宋体"/>
          <w:color w:val="auto"/>
          <w:sz w:val="28"/>
          <w:szCs w:val="28"/>
          <w:highlight w:val="none"/>
        </w:rPr>
        <w:t>学院</w:t>
      </w:r>
      <w:r>
        <w:rPr>
          <w:rFonts w:hint="eastAsia" w:eastAsia="宋体"/>
          <w:color w:val="auto"/>
          <w:sz w:val="28"/>
          <w:szCs w:val="28"/>
          <w:highlight w:val="none"/>
        </w:rPr>
        <w:t>文化</w:t>
      </w:r>
      <w:r>
        <w:rPr>
          <w:rFonts w:eastAsia="宋体"/>
          <w:color w:val="auto"/>
          <w:sz w:val="28"/>
          <w:szCs w:val="28"/>
          <w:highlight w:val="none"/>
        </w:rPr>
        <w:t>建设</w:t>
      </w:r>
      <w:r>
        <w:rPr>
          <w:rFonts w:hint="eastAsia" w:eastAsia="宋体"/>
          <w:color w:val="auto"/>
          <w:sz w:val="28"/>
          <w:szCs w:val="28"/>
          <w:highlight w:val="none"/>
        </w:rPr>
        <w:t>和</w:t>
      </w:r>
      <w:r>
        <w:rPr>
          <w:rFonts w:eastAsia="宋体"/>
          <w:color w:val="auto"/>
          <w:sz w:val="28"/>
          <w:szCs w:val="28"/>
          <w:highlight w:val="none"/>
        </w:rPr>
        <w:t>发展做出重大贡献，或者提供公共服务工作的相关人员进行专项奖励，计算专项奖励工作量，与公共服务工作量一同纳入公共服务业绩奖励津贴范畴进行奖励。公共服务工作量单价</w:t>
      </w:r>
      <w:r>
        <w:rPr>
          <w:rFonts w:hint="eastAsia" w:eastAsia="宋体"/>
          <w:color w:val="auto"/>
          <w:sz w:val="28"/>
          <w:szCs w:val="28"/>
          <w:highlight w:val="none"/>
          <w:lang w:val="en-US" w:eastAsia="zh-CN"/>
        </w:rPr>
        <w:t>等同于</w:t>
      </w:r>
      <w:r>
        <w:rPr>
          <w:rFonts w:hint="eastAsia" w:eastAsia="宋体"/>
          <w:color w:val="auto"/>
          <w:sz w:val="28"/>
          <w:szCs w:val="28"/>
          <w:highlight w:val="none"/>
        </w:rPr>
        <w:t>教学工作量单价</w:t>
      </w:r>
      <w:r>
        <w:rPr>
          <w:rFonts w:eastAsia="宋体"/>
          <w:color w:val="auto"/>
          <w:sz w:val="28"/>
          <w:szCs w:val="28"/>
          <w:highlight w:val="none"/>
        </w:rPr>
        <w:t>。</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学院按照一定比例发放给各系、室（中心）综合工作量，由各系、室（中心）负责人按照实际绩效贡献统筹分配，报学院绩效工资实施工作小组审核。该工作量统计为教师的公共服务工作量。</w:t>
      </w:r>
    </w:p>
    <w:p>
      <w:pPr>
        <w:pStyle w:val="8"/>
        <w:ind w:firstLine="560" w:firstLineChars="200"/>
        <w:jc w:val="both"/>
        <w:rPr>
          <w:rFonts w:eastAsia="宋体"/>
          <w:color w:val="auto"/>
          <w:sz w:val="28"/>
          <w:szCs w:val="28"/>
          <w:highlight w:val="none"/>
        </w:rPr>
      </w:pPr>
      <w:r>
        <w:rPr>
          <w:rFonts w:hint="eastAsia" w:eastAsia="宋体"/>
          <w:color w:val="auto"/>
          <w:sz w:val="28"/>
          <w:szCs w:val="28"/>
          <w:highlight w:val="none"/>
        </w:rPr>
        <w:t>对于承担系（室、中心）主任（含主持工作）、系（室、中心）副主任、班主任、支部书记、分工会主席、教学督导等工作的教师，计算公共服务工作量，具体数量由学院</w:t>
      </w:r>
      <w:r>
        <w:rPr>
          <w:rFonts w:eastAsia="宋体"/>
          <w:color w:val="auto"/>
          <w:sz w:val="28"/>
          <w:szCs w:val="28"/>
          <w:highlight w:val="none"/>
        </w:rPr>
        <w:t>绩效工资实施工作小组审核</w:t>
      </w:r>
      <w:r>
        <w:rPr>
          <w:rFonts w:hint="eastAsia" w:eastAsia="宋体"/>
          <w:color w:val="auto"/>
          <w:sz w:val="28"/>
          <w:szCs w:val="28"/>
          <w:highlight w:val="none"/>
        </w:rPr>
        <w:t>。</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对于上级单位借调，学校派出挂职锻炼，享受学术假、工伤法定医疗期、法定产假期的人员，按照学校</w:t>
      </w:r>
      <w:r>
        <w:rPr>
          <w:rFonts w:hint="eastAsia" w:eastAsia="宋体"/>
          <w:color w:val="auto"/>
          <w:sz w:val="28"/>
          <w:szCs w:val="28"/>
          <w:highlight w:val="none"/>
          <w:lang w:eastAsia="zh-CN"/>
        </w:rPr>
        <w:t>人力资源部</w:t>
      </w:r>
      <w:r>
        <w:rPr>
          <w:rFonts w:eastAsia="宋体"/>
          <w:color w:val="auto"/>
          <w:sz w:val="28"/>
          <w:szCs w:val="28"/>
          <w:highlight w:val="none"/>
        </w:rPr>
        <w:t>核定的时间节点计算其年度工作量基准线进行岗位考核，发放相应的岗位奖励津贴。如果学校贴补其教学工作量和教学科研业绩分，则按照学院单价计算补贴发放。</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学院年度考核为优秀的人员发放</w:t>
      </w:r>
      <w:r>
        <w:rPr>
          <w:rFonts w:hint="eastAsia" w:eastAsia="宋体"/>
          <w:color w:val="auto"/>
          <w:sz w:val="28"/>
          <w:szCs w:val="28"/>
          <w:highlight w:val="none"/>
          <w:lang w:val="en-US" w:eastAsia="zh-CN"/>
        </w:rPr>
        <w:t>一定的</w:t>
      </w:r>
      <w:r>
        <w:rPr>
          <w:rFonts w:eastAsia="宋体"/>
          <w:color w:val="auto"/>
          <w:sz w:val="28"/>
          <w:szCs w:val="28"/>
          <w:highlight w:val="none"/>
        </w:rPr>
        <w:t>奖励津贴。</w:t>
      </w:r>
      <w:r>
        <w:rPr>
          <w:rFonts w:hint="eastAsia" w:eastAsia="宋体"/>
          <w:color w:val="auto"/>
          <w:sz w:val="28"/>
          <w:szCs w:val="28"/>
          <w:highlight w:val="none"/>
        </w:rPr>
        <w:t>其他</w:t>
      </w:r>
      <w:r>
        <w:rPr>
          <w:rFonts w:eastAsia="宋体"/>
          <w:color w:val="auto"/>
          <w:sz w:val="28"/>
          <w:szCs w:val="28"/>
          <w:highlight w:val="none"/>
        </w:rPr>
        <w:t>专项津贴</w:t>
      </w:r>
      <w:r>
        <w:rPr>
          <w:rFonts w:hint="eastAsia" w:eastAsia="宋体"/>
          <w:color w:val="auto"/>
          <w:sz w:val="28"/>
          <w:szCs w:val="28"/>
          <w:highlight w:val="none"/>
        </w:rPr>
        <w:t>，</w:t>
      </w:r>
      <w:r>
        <w:rPr>
          <w:rFonts w:eastAsia="宋体"/>
          <w:color w:val="auto"/>
          <w:sz w:val="28"/>
          <w:szCs w:val="28"/>
          <w:highlight w:val="none"/>
        </w:rPr>
        <w:t>按照学校相关规定执行。</w:t>
      </w:r>
    </w:p>
    <w:p>
      <w:pPr>
        <w:pStyle w:val="8"/>
        <w:ind w:firstLine="560" w:firstLineChars="200"/>
        <w:jc w:val="both"/>
        <w:rPr>
          <w:rFonts w:eastAsia="宋体"/>
          <w:color w:val="auto"/>
          <w:sz w:val="28"/>
          <w:szCs w:val="28"/>
          <w:highlight w:val="none"/>
        </w:rPr>
      </w:pPr>
      <w:r>
        <w:rPr>
          <w:rFonts w:eastAsia="宋体"/>
          <w:color w:val="auto"/>
          <w:sz w:val="28"/>
          <w:szCs w:val="28"/>
          <w:highlight w:val="none"/>
        </w:rPr>
        <w:t>个别未明确业绩分计算办法的专项奖励津贴由学院绩效工资实施工作小组商定。</w:t>
      </w:r>
    </w:p>
    <w:p>
      <w:pPr>
        <w:pStyle w:val="8"/>
        <w:ind w:firstLine="562" w:firstLineChars="200"/>
        <w:rPr>
          <w:rFonts w:eastAsia="宋体"/>
          <w:b/>
          <w:color w:val="auto"/>
          <w:sz w:val="28"/>
          <w:szCs w:val="28"/>
          <w:highlight w:val="none"/>
        </w:rPr>
      </w:pPr>
      <w:r>
        <w:rPr>
          <w:rFonts w:eastAsia="宋体"/>
          <w:b/>
          <w:color w:val="auto"/>
          <w:sz w:val="28"/>
          <w:szCs w:val="28"/>
          <w:highlight w:val="none"/>
        </w:rPr>
        <w:t>4. 保障性业绩奖励津贴分配</w:t>
      </w:r>
    </w:p>
    <w:p>
      <w:pPr>
        <w:pStyle w:val="8"/>
        <w:ind w:firstLine="560" w:firstLineChars="200"/>
        <w:rPr>
          <w:rFonts w:eastAsia="宋体"/>
          <w:color w:val="auto"/>
          <w:sz w:val="28"/>
          <w:szCs w:val="28"/>
          <w:highlight w:val="none"/>
        </w:rPr>
      </w:pPr>
      <w:r>
        <w:rPr>
          <w:rFonts w:eastAsia="宋体"/>
          <w:color w:val="auto"/>
          <w:sz w:val="28"/>
          <w:szCs w:val="28"/>
          <w:highlight w:val="none"/>
        </w:rPr>
        <w:t>由于教学工作量和教学科研业绩分单价取整等因数计算结余的奖励性业绩津贴和学校补发的目标考核奖励津贴作为保障性业绩奖励津贴按照在岗工作月份平均分配给学院每个教职工。</w:t>
      </w:r>
    </w:p>
    <w:p>
      <w:pPr>
        <w:pStyle w:val="8"/>
        <w:ind w:firstLine="560" w:firstLineChars="200"/>
        <w:rPr>
          <w:rFonts w:eastAsia="宋体"/>
          <w:color w:val="auto"/>
          <w:sz w:val="28"/>
          <w:szCs w:val="28"/>
          <w:highlight w:val="none"/>
        </w:rPr>
      </w:pPr>
    </w:p>
    <w:p>
      <w:pPr>
        <w:pStyle w:val="8"/>
        <w:rPr>
          <w:rFonts w:eastAsia="宋体"/>
          <w:b/>
          <w:color w:val="auto"/>
          <w:sz w:val="28"/>
          <w:szCs w:val="28"/>
          <w:highlight w:val="none"/>
        </w:rPr>
      </w:pPr>
      <w:r>
        <w:rPr>
          <w:rFonts w:eastAsia="宋体"/>
          <w:b/>
          <w:color w:val="auto"/>
          <w:sz w:val="28"/>
          <w:szCs w:val="28"/>
          <w:highlight w:val="none"/>
        </w:rPr>
        <w:t>五、其他说明</w:t>
      </w:r>
    </w:p>
    <w:p>
      <w:pPr>
        <w:pStyle w:val="8"/>
        <w:ind w:firstLine="560" w:firstLineChars="200"/>
        <w:rPr>
          <w:rFonts w:eastAsia="宋体"/>
          <w:color w:val="auto"/>
          <w:sz w:val="28"/>
          <w:szCs w:val="28"/>
          <w:highlight w:val="none"/>
        </w:rPr>
      </w:pPr>
      <w:r>
        <w:rPr>
          <w:rFonts w:eastAsia="宋体"/>
          <w:color w:val="auto"/>
          <w:sz w:val="28"/>
          <w:szCs w:val="28"/>
          <w:highlight w:val="none"/>
        </w:rPr>
        <w:t>1. 学校</w:t>
      </w:r>
      <w:r>
        <w:rPr>
          <w:rFonts w:hint="eastAsia" w:eastAsia="宋体"/>
          <w:color w:val="auto"/>
          <w:sz w:val="28"/>
          <w:szCs w:val="28"/>
          <w:highlight w:val="none"/>
          <w:lang w:val="en-US" w:eastAsia="zh-CN"/>
        </w:rPr>
        <w:t>人力资源部</w:t>
      </w:r>
      <w:r>
        <w:rPr>
          <w:rFonts w:eastAsia="宋体"/>
          <w:color w:val="auto"/>
          <w:sz w:val="28"/>
          <w:szCs w:val="28"/>
          <w:highlight w:val="none"/>
        </w:rPr>
        <w:t>核发给学院某一单位的指定编制性质补贴工资由相关单位人员分配，分配方式由学院绩效工资实施工作小组审定。学校</w:t>
      </w:r>
      <w:r>
        <w:rPr>
          <w:rFonts w:hint="eastAsia" w:eastAsia="宋体"/>
          <w:color w:val="auto"/>
          <w:sz w:val="28"/>
          <w:szCs w:val="28"/>
          <w:highlight w:val="none"/>
          <w:lang w:eastAsia="zh-CN"/>
        </w:rPr>
        <w:t>人力资源部</w:t>
      </w:r>
      <w:r>
        <w:rPr>
          <w:rFonts w:eastAsia="宋体"/>
          <w:color w:val="auto"/>
          <w:sz w:val="28"/>
          <w:szCs w:val="28"/>
          <w:highlight w:val="none"/>
        </w:rPr>
        <w:t>核发给学院某一人员的津贴工资（编制），可由该人员选择抵扣岗位编制或超标准工作量业绩津贴两种分配方式之一申请发放，报学院绩效工资实施工作小组审定。</w:t>
      </w:r>
    </w:p>
    <w:p>
      <w:pPr>
        <w:pStyle w:val="8"/>
        <w:ind w:firstLine="560" w:firstLineChars="200"/>
        <w:rPr>
          <w:rFonts w:eastAsia="宋体"/>
          <w:color w:val="auto"/>
          <w:sz w:val="28"/>
          <w:szCs w:val="28"/>
          <w:highlight w:val="none"/>
        </w:rPr>
      </w:pPr>
      <w:r>
        <w:rPr>
          <w:rFonts w:eastAsia="宋体"/>
          <w:color w:val="auto"/>
          <w:sz w:val="28"/>
          <w:szCs w:val="28"/>
          <w:highlight w:val="none"/>
        </w:rPr>
        <w:t>2. 工作关系转至杏林学院的教师按照学校规定以及实际在学院的工作时间进行目标考核和奖励。</w:t>
      </w:r>
    </w:p>
    <w:p>
      <w:pPr>
        <w:pStyle w:val="8"/>
        <w:ind w:firstLine="560" w:firstLineChars="200"/>
        <w:rPr>
          <w:rFonts w:eastAsia="宋体"/>
          <w:color w:val="auto"/>
          <w:sz w:val="28"/>
          <w:szCs w:val="28"/>
          <w:highlight w:val="none"/>
        </w:rPr>
      </w:pPr>
      <w:r>
        <w:rPr>
          <w:rFonts w:eastAsia="宋体"/>
          <w:color w:val="auto"/>
          <w:sz w:val="28"/>
          <w:szCs w:val="28"/>
          <w:highlight w:val="none"/>
        </w:rPr>
        <w:t>3. 对于年薪制、海外研修停发岗位津贴等教学科研人员，参照学校相关的管理规定执行。</w:t>
      </w:r>
    </w:p>
    <w:p>
      <w:pPr>
        <w:pStyle w:val="8"/>
        <w:ind w:firstLine="560" w:firstLineChars="200"/>
        <w:rPr>
          <w:rFonts w:eastAsia="宋体"/>
          <w:color w:val="auto"/>
          <w:sz w:val="28"/>
          <w:szCs w:val="28"/>
          <w:highlight w:val="none"/>
        </w:rPr>
      </w:pPr>
      <w:r>
        <w:rPr>
          <w:rFonts w:eastAsia="宋体"/>
          <w:color w:val="auto"/>
          <w:sz w:val="28"/>
          <w:szCs w:val="28"/>
          <w:highlight w:val="none"/>
        </w:rPr>
        <w:t>4. 外单位兼职人员的业绩津贴分为教学工作量津贴和教学科研业绩分津贴两类，外单位人员的教学工作量单价</w:t>
      </w:r>
      <w:r>
        <w:rPr>
          <w:rFonts w:hint="eastAsia" w:eastAsia="宋体"/>
          <w:color w:val="auto"/>
          <w:sz w:val="28"/>
          <w:szCs w:val="28"/>
          <w:highlight w:val="none"/>
        </w:rPr>
        <w:t>与</w:t>
      </w:r>
      <w:r>
        <w:rPr>
          <w:rFonts w:eastAsia="宋体"/>
          <w:color w:val="auto"/>
          <w:sz w:val="28"/>
          <w:szCs w:val="28"/>
          <w:highlight w:val="none"/>
        </w:rPr>
        <w:t>教学科研业绩分单价与本院</w:t>
      </w:r>
      <w:r>
        <w:rPr>
          <w:rFonts w:hint="eastAsia" w:eastAsia="宋体"/>
          <w:color w:val="auto"/>
          <w:sz w:val="28"/>
          <w:szCs w:val="28"/>
          <w:highlight w:val="none"/>
        </w:rPr>
        <w:t>教师</w:t>
      </w:r>
      <w:r>
        <w:rPr>
          <w:rFonts w:eastAsia="宋体"/>
          <w:color w:val="auto"/>
          <w:sz w:val="28"/>
          <w:szCs w:val="28"/>
          <w:highlight w:val="none"/>
        </w:rPr>
        <w:t>相同。</w:t>
      </w:r>
    </w:p>
    <w:p>
      <w:pPr>
        <w:pStyle w:val="8"/>
        <w:ind w:firstLine="560" w:firstLineChars="200"/>
        <w:rPr>
          <w:rFonts w:eastAsia="宋体"/>
          <w:color w:val="auto"/>
          <w:sz w:val="28"/>
          <w:szCs w:val="28"/>
          <w:highlight w:val="none"/>
        </w:rPr>
      </w:pPr>
      <w:r>
        <w:rPr>
          <w:rFonts w:eastAsia="宋体"/>
          <w:color w:val="auto"/>
          <w:sz w:val="28"/>
          <w:szCs w:val="28"/>
          <w:highlight w:val="none"/>
        </w:rPr>
        <w:t>5. 海外研修人员的第一年、海内外攻读博士学位人员的前三年每年补贴1.0个标准教学工作量进行年度岗位考核，对于先停后补岗位津贴的研修人员，按照学校</w:t>
      </w:r>
      <w:r>
        <w:rPr>
          <w:rFonts w:hint="eastAsia" w:eastAsia="宋体"/>
          <w:color w:val="auto"/>
          <w:sz w:val="28"/>
          <w:szCs w:val="28"/>
          <w:highlight w:val="none"/>
          <w:lang w:eastAsia="zh-CN"/>
        </w:rPr>
        <w:t>人力资源部</w:t>
      </w:r>
      <w:r>
        <w:rPr>
          <w:rFonts w:eastAsia="宋体"/>
          <w:color w:val="auto"/>
          <w:sz w:val="28"/>
          <w:szCs w:val="28"/>
          <w:highlight w:val="none"/>
        </w:rPr>
        <w:t>相关的管理规定执行。近三年（不含当年）引进的第六类及以上人才教学工作量不作年度岗位考核要求，仅考核教学科研业绩分，当年引进的第六类及以上人才的教学工作量和教学科研业绩分均不作年度岗位考核要求。近三年引进的第六类及以上人才的业绩奖励津贴按其获得的教学工作量和教学科研业绩分计算发放。因病请假人员按照实际在岗时间计算教学工作量和教学科研业绩分基准线，进行岗位考核，发放在岗期间的岗位奖励津贴；业绩奖励津贴按照实际业绩计算发放。</w:t>
      </w:r>
    </w:p>
    <w:p>
      <w:pPr>
        <w:pStyle w:val="8"/>
        <w:ind w:firstLine="560" w:firstLineChars="200"/>
        <w:rPr>
          <w:rFonts w:eastAsia="宋体"/>
          <w:color w:val="auto"/>
          <w:sz w:val="28"/>
          <w:szCs w:val="28"/>
          <w:highlight w:val="none"/>
        </w:rPr>
      </w:pPr>
      <w:r>
        <w:rPr>
          <w:color w:val="auto"/>
          <w:sz w:val="28"/>
          <w:szCs w:val="28"/>
          <w:highlight w:val="none"/>
        </w:rPr>
        <w:t xml:space="preserve">6. </w:t>
      </w:r>
      <w:r>
        <w:rPr>
          <w:rFonts w:eastAsia="宋体"/>
          <w:color w:val="auto"/>
          <w:sz w:val="28"/>
          <w:szCs w:val="28"/>
          <w:highlight w:val="none"/>
        </w:rPr>
        <w:t>低职高聘人员按照学校核定的岗位档级进行岗位绩效考核，按照实际职称计算发放教学工作量奖励津贴。</w:t>
      </w:r>
    </w:p>
    <w:p>
      <w:pPr>
        <w:pStyle w:val="8"/>
        <w:ind w:firstLine="560" w:firstLineChars="200"/>
        <w:rPr>
          <w:rFonts w:eastAsia="宋体"/>
          <w:color w:val="auto"/>
          <w:sz w:val="28"/>
          <w:szCs w:val="28"/>
          <w:highlight w:val="none"/>
        </w:rPr>
      </w:pPr>
      <w:r>
        <w:rPr>
          <w:rFonts w:hint="eastAsia" w:eastAsia="宋体"/>
          <w:color w:val="auto"/>
          <w:sz w:val="28"/>
          <w:szCs w:val="28"/>
          <w:highlight w:val="none"/>
        </w:rPr>
        <w:t xml:space="preserve">7. </w:t>
      </w:r>
      <w:r>
        <w:rPr>
          <w:rFonts w:eastAsia="宋体"/>
          <w:color w:val="auto"/>
          <w:sz w:val="28"/>
          <w:szCs w:val="28"/>
          <w:highlight w:val="none"/>
        </w:rPr>
        <w:t>如果存在旷工</w:t>
      </w:r>
      <w:r>
        <w:rPr>
          <w:rFonts w:hint="eastAsia" w:eastAsia="宋体"/>
          <w:color w:val="auto"/>
          <w:sz w:val="28"/>
          <w:szCs w:val="28"/>
          <w:highlight w:val="none"/>
        </w:rPr>
        <w:t>、重大工作失误、教学事故和其他影响学院声誉行为</w:t>
      </w:r>
      <w:r>
        <w:rPr>
          <w:rFonts w:eastAsia="宋体"/>
          <w:color w:val="auto"/>
          <w:sz w:val="28"/>
          <w:szCs w:val="28"/>
          <w:highlight w:val="none"/>
        </w:rPr>
        <w:t>等情况的，相关扣发</w:t>
      </w:r>
      <w:r>
        <w:rPr>
          <w:rFonts w:eastAsia="宋体"/>
          <w:color w:val="auto"/>
          <w:sz w:val="28"/>
          <w:szCs w:val="28"/>
          <w:highlight w:val="none"/>
        </w:rPr>
        <w:t>按《南通大学绩效工资扣发管理若干规定》执行。</w:t>
      </w:r>
    </w:p>
    <w:p>
      <w:pPr>
        <w:pStyle w:val="8"/>
        <w:ind w:firstLine="560" w:firstLineChars="200"/>
        <w:rPr>
          <w:rFonts w:eastAsia="宋体"/>
          <w:color w:val="auto"/>
          <w:sz w:val="28"/>
          <w:szCs w:val="28"/>
          <w:highlight w:val="none"/>
        </w:rPr>
      </w:pPr>
      <w:r>
        <w:rPr>
          <w:rFonts w:hint="eastAsia" w:eastAsia="宋体"/>
          <w:color w:val="auto"/>
          <w:sz w:val="28"/>
          <w:szCs w:val="28"/>
          <w:highlight w:val="none"/>
        </w:rPr>
        <w:t xml:space="preserve">8. </w:t>
      </w:r>
      <w:r>
        <w:rPr>
          <w:rFonts w:eastAsia="宋体"/>
          <w:color w:val="auto"/>
          <w:sz w:val="28"/>
          <w:szCs w:val="28"/>
          <w:highlight w:val="none"/>
        </w:rPr>
        <w:t>本实施细则中未提及的事项如有学校规定的按照学校规定执行，如与学校规定相冲突的按照学校规定执行。教师可以就学校和学院未提及的条款提出书面申请，由学院绩效工资实施工作小组讨论确定。</w:t>
      </w:r>
    </w:p>
    <w:p>
      <w:pPr>
        <w:pStyle w:val="8"/>
        <w:ind w:right="280"/>
        <w:jc w:val="right"/>
        <w:rPr>
          <w:rFonts w:eastAsia="宋体"/>
          <w:color w:val="auto"/>
          <w:sz w:val="28"/>
          <w:szCs w:val="28"/>
          <w:highlight w:val="none"/>
        </w:rPr>
      </w:pPr>
    </w:p>
    <w:p>
      <w:pPr>
        <w:pStyle w:val="8"/>
        <w:ind w:right="280"/>
        <w:jc w:val="right"/>
        <w:rPr>
          <w:rFonts w:eastAsia="宋体"/>
          <w:color w:val="auto"/>
          <w:sz w:val="28"/>
          <w:szCs w:val="28"/>
          <w:highlight w:val="none"/>
        </w:rPr>
      </w:pPr>
      <w:r>
        <w:rPr>
          <w:rFonts w:hint="eastAsia" w:eastAsia="宋体"/>
          <w:color w:val="auto"/>
          <w:sz w:val="28"/>
          <w:szCs w:val="28"/>
          <w:highlight w:val="none"/>
        </w:rPr>
        <w:t>机械工程学院</w:t>
      </w:r>
    </w:p>
    <w:p>
      <w:pPr>
        <w:pStyle w:val="8"/>
        <w:ind w:left="0" w:leftChars="0" w:firstLine="6378" w:firstLineChars="2278"/>
        <w:jc w:val="left"/>
        <w:rPr>
          <w:rFonts w:eastAsia="宋体"/>
          <w:color w:val="auto"/>
          <w:sz w:val="28"/>
          <w:szCs w:val="28"/>
          <w:highlight w:val="none"/>
        </w:rPr>
      </w:pPr>
      <w:r>
        <w:rPr>
          <w:rFonts w:hint="eastAsia" w:eastAsia="宋体"/>
          <w:color w:val="auto"/>
          <w:sz w:val="28"/>
          <w:szCs w:val="28"/>
          <w:highlight w:val="none"/>
          <w:lang w:val="en-US" w:eastAsia="zh-CN"/>
        </w:rPr>
        <w:t>2024</w:t>
      </w:r>
      <w:r>
        <w:rPr>
          <w:rFonts w:eastAsia="宋体"/>
          <w:color w:val="auto"/>
          <w:sz w:val="28"/>
          <w:szCs w:val="28"/>
          <w:highlight w:val="none"/>
        </w:rPr>
        <w:t>年</w:t>
      </w:r>
      <w:r>
        <w:rPr>
          <w:rFonts w:hint="eastAsia" w:eastAsia="宋体"/>
          <w:color w:val="auto"/>
          <w:sz w:val="28"/>
          <w:szCs w:val="28"/>
          <w:highlight w:val="none"/>
          <w:lang w:val="en-US" w:eastAsia="zh-CN"/>
        </w:rPr>
        <w:t>1</w:t>
      </w:r>
      <w:r>
        <w:rPr>
          <w:rFonts w:eastAsia="宋体"/>
          <w:color w:val="auto"/>
          <w:sz w:val="28"/>
          <w:szCs w:val="28"/>
          <w:highlight w:val="none"/>
        </w:rPr>
        <w:t>月</w:t>
      </w:r>
      <w:r>
        <w:rPr>
          <w:rFonts w:hint="eastAsia" w:eastAsia="宋体"/>
          <w:color w:val="auto"/>
          <w:sz w:val="28"/>
          <w:szCs w:val="28"/>
          <w:highlight w:val="none"/>
          <w:lang w:val="en-US" w:eastAsia="zh-CN"/>
        </w:rPr>
        <w:t>23</w:t>
      </w:r>
      <w:r>
        <w:rPr>
          <w:rFonts w:eastAsia="宋体"/>
          <w:color w:val="auto"/>
          <w:sz w:val="28"/>
          <w:szCs w:val="28"/>
          <w:highlight w:val="none"/>
        </w:rPr>
        <w:t>日</w:t>
      </w:r>
    </w:p>
    <w:p>
      <w:pPr>
        <w:widowControl/>
        <w:jc w:val="left"/>
        <w:rPr>
          <w:rFonts w:ascii="Times New Roman" w:hAnsi="Times New Roman" w:eastAsia="宋体" w:cs="Times New Roman"/>
          <w:kern w:val="0"/>
          <w:sz w:val="23"/>
          <w:szCs w:val="23"/>
          <w:highlight w:val="none"/>
        </w:rPr>
      </w:pPr>
      <w:r>
        <w:rPr>
          <w:rFonts w:ascii="Times New Roman" w:hAnsi="Times New Roman" w:eastAsia="宋体" w:cs="Times New Roman"/>
          <w:sz w:val="23"/>
          <w:szCs w:val="23"/>
          <w:highlight w:val="none"/>
        </w:rPr>
        <w:br w:type="page"/>
      </w:r>
    </w:p>
    <w:p>
      <w:pPr>
        <w:pStyle w:val="8"/>
        <w:rPr>
          <w:color w:val="auto"/>
          <w:highlight w:val="none"/>
        </w:rPr>
      </w:pPr>
    </w:p>
    <w:p>
      <w:pPr>
        <w:pStyle w:val="8"/>
        <w:jc w:val="center"/>
        <w:rPr>
          <w:b/>
          <w:color w:val="auto"/>
          <w:highlight w:val="none"/>
        </w:rPr>
      </w:pPr>
      <w:r>
        <w:rPr>
          <w:rFonts w:eastAsia="宋体"/>
          <w:b/>
          <w:color w:val="auto"/>
          <w:sz w:val="23"/>
          <w:szCs w:val="23"/>
          <w:highlight w:val="none"/>
        </w:rPr>
        <w:t>附件</w:t>
      </w:r>
      <w:r>
        <w:rPr>
          <w:rFonts w:eastAsia="宋体"/>
          <w:b/>
          <w:bCs/>
          <w:color w:val="auto"/>
          <w:sz w:val="23"/>
          <w:szCs w:val="23"/>
          <w:highlight w:val="none"/>
        </w:rPr>
        <w:t>1</w:t>
      </w:r>
      <w:r>
        <w:rPr>
          <w:rFonts w:eastAsia="宋体"/>
          <w:b/>
          <w:color w:val="auto"/>
          <w:sz w:val="23"/>
          <w:szCs w:val="23"/>
          <w:highlight w:val="none"/>
        </w:rPr>
        <w:t>：</w:t>
      </w:r>
      <w:r>
        <w:rPr>
          <w:rFonts w:hint="eastAsia" w:eastAsia="宋体"/>
          <w:b/>
          <w:color w:val="auto"/>
          <w:sz w:val="23"/>
          <w:szCs w:val="23"/>
          <w:highlight w:val="none"/>
        </w:rPr>
        <w:t>机械</w:t>
      </w:r>
      <w:r>
        <w:rPr>
          <w:rFonts w:eastAsia="宋体"/>
          <w:b/>
          <w:color w:val="auto"/>
          <w:sz w:val="23"/>
          <w:szCs w:val="23"/>
          <w:highlight w:val="none"/>
        </w:rPr>
        <w:t>工程学院</w:t>
      </w:r>
      <w:r>
        <w:rPr>
          <w:rFonts w:hint="eastAsia" w:eastAsia="宋体"/>
          <w:b/>
          <w:color w:val="auto"/>
          <w:sz w:val="23"/>
          <w:szCs w:val="23"/>
          <w:highlight w:val="none"/>
        </w:rPr>
        <w:t>专业技术</w:t>
      </w:r>
      <w:r>
        <w:rPr>
          <w:rFonts w:eastAsia="宋体"/>
          <w:b/>
          <w:color w:val="auto"/>
          <w:sz w:val="23"/>
          <w:szCs w:val="23"/>
          <w:highlight w:val="none"/>
        </w:rPr>
        <w:t>岗位年度基本工作任务标准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09"/>
        <w:gridCol w:w="992"/>
        <w:gridCol w:w="1134"/>
        <w:gridCol w:w="1418"/>
        <w:gridCol w:w="1276"/>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38" w:type="dxa"/>
            <w:gridSpan w:val="2"/>
            <w:vAlign w:val="center"/>
          </w:tcPr>
          <w:p>
            <w:pPr>
              <w:pStyle w:val="8"/>
              <w:jc w:val="center"/>
              <w:rPr>
                <w:color w:val="auto"/>
                <w:sz w:val="21"/>
                <w:szCs w:val="21"/>
                <w:highlight w:val="none"/>
              </w:rPr>
            </w:pPr>
            <w:r>
              <w:rPr>
                <w:color w:val="auto"/>
                <w:sz w:val="21"/>
                <w:szCs w:val="21"/>
                <w:highlight w:val="none"/>
              </w:rPr>
              <w:t>岗位级档</w:t>
            </w:r>
          </w:p>
        </w:tc>
        <w:tc>
          <w:tcPr>
            <w:tcW w:w="992" w:type="dxa"/>
            <w:vAlign w:val="center"/>
          </w:tcPr>
          <w:p>
            <w:pPr>
              <w:pStyle w:val="8"/>
              <w:jc w:val="center"/>
              <w:rPr>
                <w:color w:val="auto"/>
                <w:sz w:val="21"/>
                <w:szCs w:val="21"/>
                <w:highlight w:val="none"/>
              </w:rPr>
            </w:pPr>
            <w:r>
              <w:rPr>
                <w:color w:val="auto"/>
                <w:sz w:val="21"/>
                <w:szCs w:val="21"/>
                <w:highlight w:val="none"/>
              </w:rPr>
              <w:t>岗位级档系数</w:t>
            </w:r>
            <w:r>
              <w:rPr>
                <w:rFonts w:hint="eastAsia"/>
                <w:color w:val="auto"/>
                <w:sz w:val="21"/>
                <w:szCs w:val="21"/>
                <w:highlight w:val="none"/>
              </w:rPr>
              <w:t>d</w:t>
            </w:r>
          </w:p>
        </w:tc>
        <w:tc>
          <w:tcPr>
            <w:tcW w:w="1134" w:type="dxa"/>
            <w:vAlign w:val="center"/>
          </w:tcPr>
          <w:p>
            <w:pPr>
              <w:pStyle w:val="8"/>
              <w:jc w:val="center"/>
              <w:rPr>
                <w:rFonts w:eastAsia="宋体"/>
                <w:color w:val="auto"/>
                <w:sz w:val="21"/>
                <w:szCs w:val="21"/>
                <w:highlight w:val="none"/>
              </w:rPr>
            </w:pPr>
            <w:r>
              <w:rPr>
                <w:rFonts w:eastAsia="宋体"/>
                <w:color w:val="auto"/>
                <w:sz w:val="21"/>
                <w:szCs w:val="21"/>
                <w:highlight w:val="none"/>
              </w:rPr>
              <w:t>教学</w:t>
            </w:r>
          </w:p>
          <w:p>
            <w:pPr>
              <w:pStyle w:val="8"/>
              <w:jc w:val="center"/>
              <w:rPr>
                <w:color w:val="auto"/>
                <w:sz w:val="21"/>
                <w:szCs w:val="21"/>
                <w:highlight w:val="none"/>
              </w:rPr>
            </w:pPr>
            <w:r>
              <w:rPr>
                <w:rFonts w:eastAsia="宋体"/>
                <w:color w:val="auto"/>
                <w:sz w:val="21"/>
                <w:szCs w:val="21"/>
                <w:highlight w:val="none"/>
              </w:rPr>
              <w:t>工作量</w:t>
            </w:r>
          </w:p>
        </w:tc>
        <w:tc>
          <w:tcPr>
            <w:tcW w:w="1418" w:type="dxa"/>
            <w:vAlign w:val="center"/>
          </w:tcPr>
          <w:p>
            <w:pPr>
              <w:pStyle w:val="8"/>
              <w:jc w:val="center"/>
              <w:rPr>
                <w:color w:val="auto"/>
                <w:sz w:val="21"/>
                <w:szCs w:val="21"/>
                <w:highlight w:val="none"/>
              </w:rPr>
            </w:pPr>
            <w:r>
              <w:rPr>
                <w:rFonts w:eastAsia="宋体"/>
                <w:color w:val="auto"/>
                <w:sz w:val="21"/>
                <w:szCs w:val="21"/>
                <w:highlight w:val="none"/>
              </w:rPr>
              <w:t>教研业绩分</w:t>
            </w:r>
          </w:p>
        </w:tc>
        <w:tc>
          <w:tcPr>
            <w:tcW w:w="1276" w:type="dxa"/>
            <w:vAlign w:val="center"/>
          </w:tcPr>
          <w:p>
            <w:pPr>
              <w:pStyle w:val="8"/>
              <w:jc w:val="center"/>
              <w:rPr>
                <w:color w:val="auto"/>
                <w:sz w:val="21"/>
                <w:szCs w:val="21"/>
                <w:highlight w:val="none"/>
              </w:rPr>
            </w:pPr>
            <w:r>
              <w:rPr>
                <w:rFonts w:eastAsia="宋体"/>
                <w:color w:val="auto"/>
                <w:sz w:val="21"/>
                <w:szCs w:val="21"/>
                <w:highlight w:val="none"/>
              </w:rPr>
              <w:t>科研业绩分</w:t>
            </w:r>
          </w:p>
        </w:tc>
        <w:tc>
          <w:tcPr>
            <w:tcW w:w="1638" w:type="dxa"/>
            <w:vAlign w:val="center"/>
          </w:tcPr>
          <w:p>
            <w:pPr>
              <w:pStyle w:val="8"/>
              <w:jc w:val="center"/>
              <w:rPr>
                <w:color w:val="auto"/>
                <w:sz w:val="21"/>
                <w:szCs w:val="21"/>
                <w:highlight w:val="none"/>
              </w:rPr>
            </w:pPr>
            <w:r>
              <w:rPr>
                <w:rFonts w:eastAsia="宋体"/>
                <w:color w:val="auto"/>
                <w:sz w:val="21"/>
                <w:szCs w:val="21"/>
                <w:highlight w:val="none"/>
              </w:rPr>
              <w:t>岗位标准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pStyle w:val="8"/>
              <w:jc w:val="center"/>
              <w:rPr>
                <w:rFonts w:eastAsia="宋体"/>
                <w:color w:val="auto"/>
                <w:sz w:val="18"/>
                <w:szCs w:val="18"/>
                <w:highlight w:val="none"/>
              </w:rPr>
            </w:pPr>
            <w:r>
              <w:rPr>
                <w:rFonts w:eastAsia="宋体"/>
                <w:color w:val="auto"/>
                <w:sz w:val="18"/>
                <w:szCs w:val="18"/>
                <w:highlight w:val="none"/>
              </w:rPr>
              <w:t>正高级、</w:t>
            </w:r>
          </w:p>
          <w:p>
            <w:pPr>
              <w:pStyle w:val="8"/>
              <w:jc w:val="center"/>
              <w:rPr>
                <w:rFonts w:eastAsia="宋体"/>
                <w:color w:val="auto"/>
                <w:sz w:val="18"/>
                <w:szCs w:val="18"/>
                <w:highlight w:val="none"/>
              </w:rPr>
            </w:pPr>
            <w:r>
              <w:rPr>
                <w:rFonts w:eastAsia="宋体"/>
                <w:color w:val="auto"/>
                <w:sz w:val="18"/>
                <w:szCs w:val="18"/>
                <w:highlight w:val="none"/>
              </w:rPr>
              <w:t>低职高聘人员</w:t>
            </w:r>
          </w:p>
        </w:tc>
        <w:tc>
          <w:tcPr>
            <w:tcW w:w="709" w:type="dxa"/>
            <w:vAlign w:val="center"/>
          </w:tcPr>
          <w:p>
            <w:pPr>
              <w:pStyle w:val="8"/>
              <w:jc w:val="center"/>
              <w:rPr>
                <w:color w:val="auto"/>
                <w:sz w:val="18"/>
                <w:szCs w:val="18"/>
                <w:highlight w:val="none"/>
              </w:rPr>
            </w:pPr>
            <w:r>
              <w:rPr>
                <w:color w:val="auto"/>
                <w:sz w:val="18"/>
                <w:szCs w:val="18"/>
                <w:highlight w:val="none"/>
              </w:rPr>
              <w:t>1档</w:t>
            </w:r>
          </w:p>
        </w:tc>
        <w:tc>
          <w:tcPr>
            <w:tcW w:w="992" w:type="dxa"/>
          </w:tcPr>
          <w:p>
            <w:pPr>
              <w:jc w:val="center"/>
              <w:rPr>
                <w:rFonts w:ascii="Times New Roman" w:hAnsi="Times New Roman" w:cs="Times New Roman"/>
                <w:i/>
                <w:iCs/>
                <w:sz w:val="18"/>
                <w:szCs w:val="18"/>
                <w:highlight w:val="none"/>
              </w:rPr>
            </w:pPr>
            <w:r>
              <w:rPr>
                <w:rFonts w:ascii="Times New Roman" w:hAnsi="Times New Roman" w:cs="Times New Roman"/>
                <w:i/>
                <w:iCs/>
                <w:sz w:val="18"/>
                <w:szCs w:val="18"/>
                <w:highlight w:val="none"/>
              </w:rPr>
              <w:t>2.00</w:t>
            </w:r>
          </w:p>
        </w:tc>
        <w:tc>
          <w:tcPr>
            <w:tcW w:w="1134" w:type="dxa"/>
            <w:vAlign w:val="center"/>
          </w:tcPr>
          <w:p>
            <w:pPr>
              <w:jc w:val="center"/>
              <w:rPr>
                <w:rFonts w:ascii="Times New Roman" w:hAnsi="Times New Roman" w:cs="Times New Roman"/>
                <w:highlight w:val="none"/>
              </w:rPr>
            </w:pPr>
            <w:r>
              <w:rPr>
                <w:rFonts w:ascii="Times New Roman" w:hAnsi="Times New Roman" w:cs="Times New Roman"/>
                <w:i/>
                <w:iCs/>
                <w:sz w:val="18"/>
                <w:szCs w:val="18"/>
                <w:highlight w:val="none"/>
              </w:rPr>
              <w:t>G</w:t>
            </w:r>
            <w:r>
              <w:rPr>
                <w:rFonts w:ascii="Times New Roman" w:hAnsi="Times New Roman" w:eastAsia="宋体" w:cs="Times New Roman"/>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0.5*2.00*G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0.5*2.00*G</w:t>
            </w:r>
            <w:r>
              <w:rPr>
                <w:rFonts w:eastAsia="宋体"/>
                <w:color w:val="auto"/>
                <w:sz w:val="9"/>
                <w:szCs w:val="9"/>
                <w:highlight w:val="none"/>
              </w:rPr>
              <w:t>研标</w:t>
            </w:r>
          </w:p>
        </w:tc>
        <w:tc>
          <w:tcPr>
            <w:tcW w:w="1638" w:type="dxa"/>
            <w:vAlign w:val="center"/>
          </w:tcPr>
          <w:p>
            <w:pPr>
              <w:pStyle w:val="8"/>
              <w:jc w:val="center"/>
              <w:rPr>
                <w:color w:val="auto"/>
                <w:highlight w:val="none"/>
              </w:rPr>
            </w:pPr>
            <w:r>
              <w:rPr>
                <w:rFonts w:eastAsia="宋体"/>
                <w:color w:val="auto"/>
                <w:sz w:val="18"/>
                <w:szCs w:val="18"/>
                <w:highlight w:val="none"/>
              </w:rPr>
              <w:t>按学校要求考核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2档</w:t>
            </w:r>
          </w:p>
        </w:tc>
        <w:tc>
          <w:tcPr>
            <w:tcW w:w="992" w:type="dxa"/>
          </w:tcPr>
          <w:p>
            <w:pPr>
              <w:jc w:val="center"/>
              <w:rPr>
                <w:rFonts w:ascii="Times New Roman" w:hAnsi="Times New Roman" w:cs="Times New Roman"/>
                <w:i/>
                <w:iCs/>
                <w:sz w:val="18"/>
                <w:szCs w:val="18"/>
                <w:highlight w:val="none"/>
              </w:rPr>
            </w:pPr>
            <w:r>
              <w:rPr>
                <w:rFonts w:ascii="Times New Roman" w:hAnsi="Times New Roman" w:cs="Times New Roman"/>
                <w:i/>
                <w:iCs/>
                <w:sz w:val="18"/>
                <w:szCs w:val="18"/>
                <w:highlight w:val="none"/>
              </w:rPr>
              <w:t>1.77</w:t>
            </w:r>
          </w:p>
        </w:tc>
        <w:tc>
          <w:tcPr>
            <w:tcW w:w="1134" w:type="dxa"/>
            <w:vAlign w:val="center"/>
          </w:tcPr>
          <w:p>
            <w:pPr>
              <w:jc w:val="center"/>
              <w:rPr>
                <w:rFonts w:ascii="Times New Roman" w:hAnsi="Times New Roman" w:cs="Times New Roman"/>
                <w:highlight w:val="none"/>
              </w:rPr>
            </w:pPr>
            <w:r>
              <w:rPr>
                <w:rFonts w:ascii="Times New Roman" w:hAnsi="Times New Roman" w:cs="Times New Roman"/>
                <w:i/>
                <w:iCs/>
                <w:sz w:val="18"/>
                <w:szCs w:val="18"/>
                <w:highlight w:val="none"/>
              </w:rPr>
              <w:t>G</w:t>
            </w:r>
            <w:r>
              <w:rPr>
                <w:rFonts w:ascii="Times New Roman" w:hAnsi="Times New Roman" w:eastAsia="宋体" w:cs="Times New Roman"/>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0.5*1.77*G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0.5*1.77*G</w:t>
            </w:r>
            <w:r>
              <w:rPr>
                <w:rFonts w:eastAsia="宋体"/>
                <w:color w:val="auto"/>
                <w:sz w:val="9"/>
                <w:szCs w:val="9"/>
                <w:highlight w:val="none"/>
              </w:rPr>
              <w:t>研标</w:t>
            </w:r>
          </w:p>
        </w:tc>
        <w:tc>
          <w:tcPr>
            <w:tcW w:w="1638" w:type="dxa"/>
            <w:vAlign w:val="center"/>
          </w:tcPr>
          <w:p>
            <w:pPr>
              <w:pStyle w:val="8"/>
              <w:jc w:val="center"/>
              <w:rPr>
                <w:color w:val="auto"/>
                <w:highlight w:val="none"/>
              </w:rPr>
            </w:pPr>
            <w:r>
              <w:rPr>
                <w:rFonts w:eastAsia="宋体"/>
                <w:color w:val="auto"/>
                <w:sz w:val="18"/>
                <w:szCs w:val="18"/>
                <w:highlight w:val="none"/>
              </w:rPr>
              <w:t>按学校要求考核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3档</w:t>
            </w:r>
          </w:p>
        </w:tc>
        <w:tc>
          <w:tcPr>
            <w:tcW w:w="992" w:type="dxa"/>
          </w:tcPr>
          <w:p>
            <w:pPr>
              <w:jc w:val="center"/>
              <w:rPr>
                <w:rFonts w:ascii="Times New Roman" w:hAnsi="Times New Roman" w:cs="Times New Roman"/>
                <w:i/>
                <w:iCs/>
                <w:sz w:val="18"/>
                <w:szCs w:val="18"/>
                <w:highlight w:val="none"/>
              </w:rPr>
            </w:pPr>
            <w:r>
              <w:rPr>
                <w:rFonts w:ascii="Times New Roman" w:hAnsi="Times New Roman" w:cs="Times New Roman"/>
                <w:i/>
                <w:iCs/>
                <w:sz w:val="18"/>
                <w:szCs w:val="18"/>
                <w:highlight w:val="none"/>
              </w:rPr>
              <w:t>1.57</w:t>
            </w:r>
          </w:p>
        </w:tc>
        <w:tc>
          <w:tcPr>
            <w:tcW w:w="1134" w:type="dxa"/>
            <w:vAlign w:val="center"/>
          </w:tcPr>
          <w:p>
            <w:pPr>
              <w:jc w:val="center"/>
              <w:rPr>
                <w:rFonts w:ascii="Times New Roman" w:hAnsi="Times New Roman" w:cs="Times New Roman"/>
                <w:highlight w:val="none"/>
              </w:rPr>
            </w:pPr>
            <w:r>
              <w:rPr>
                <w:rFonts w:ascii="Times New Roman" w:hAnsi="Times New Roman" w:cs="Times New Roman"/>
                <w:i/>
                <w:iCs/>
                <w:sz w:val="18"/>
                <w:szCs w:val="18"/>
                <w:highlight w:val="none"/>
              </w:rPr>
              <w:t>G</w:t>
            </w:r>
            <w:r>
              <w:rPr>
                <w:rFonts w:ascii="Times New Roman" w:hAnsi="Times New Roman" w:eastAsia="宋体" w:cs="Times New Roman"/>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0.5*1.57*G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0.5*1.57*G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+1.57*G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4档</w:t>
            </w:r>
          </w:p>
        </w:tc>
        <w:tc>
          <w:tcPr>
            <w:tcW w:w="992" w:type="dxa"/>
          </w:tcPr>
          <w:p>
            <w:pPr>
              <w:jc w:val="center"/>
              <w:rPr>
                <w:rFonts w:ascii="Times New Roman" w:hAnsi="Times New Roman" w:cs="Times New Roman"/>
                <w:i/>
                <w:iCs/>
                <w:sz w:val="18"/>
                <w:szCs w:val="18"/>
                <w:highlight w:val="none"/>
              </w:rPr>
            </w:pPr>
            <w:r>
              <w:rPr>
                <w:rFonts w:ascii="Times New Roman" w:hAnsi="Times New Roman" w:cs="Times New Roman"/>
                <w:i/>
                <w:iCs/>
                <w:sz w:val="18"/>
                <w:szCs w:val="18"/>
                <w:highlight w:val="none"/>
              </w:rPr>
              <w:t>1.37</w:t>
            </w:r>
          </w:p>
        </w:tc>
        <w:tc>
          <w:tcPr>
            <w:tcW w:w="1134" w:type="dxa"/>
            <w:vAlign w:val="center"/>
          </w:tcPr>
          <w:p>
            <w:pPr>
              <w:jc w:val="center"/>
              <w:rPr>
                <w:rFonts w:ascii="Times New Roman" w:hAnsi="Times New Roman" w:cs="Times New Roman"/>
                <w:highlight w:val="none"/>
              </w:rPr>
            </w:pPr>
            <w:r>
              <w:rPr>
                <w:rFonts w:ascii="Times New Roman" w:hAnsi="Times New Roman" w:cs="Times New Roman"/>
                <w:i/>
                <w:iCs/>
                <w:sz w:val="18"/>
                <w:szCs w:val="18"/>
                <w:highlight w:val="none"/>
              </w:rPr>
              <w:t>G</w:t>
            </w:r>
            <w:r>
              <w:rPr>
                <w:rFonts w:ascii="Times New Roman" w:hAnsi="Times New Roman" w:eastAsia="宋体" w:cs="Times New Roman"/>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0.5*1.37*G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0.5*1.37*G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+1.37*G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5档</w:t>
            </w:r>
          </w:p>
        </w:tc>
        <w:tc>
          <w:tcPr>
            <w:tcW w:w="992" w:type="dxa"/>
          </w:tcPr>
          <w:p>
            <w:pPr>
              <w:jc w:val="center"/>
              <w:rPr>
                <w:rFonts w:ascii="Times New Roman" w:hAnsi="Times New Roman" w:cs="Times New Roman"/>
                <w:i/>
                <w:iCs/>
                <w:sz w:val="18"/>
                <w:szCs w:val="18"/>
                <w:highlight w:val="none"/>
              </w:rPr>
            </w:pPr>
            <w:r>
              <w:rPr>
                <w:rFonts w:ascii="Times New Roman" w:hAnsi="Times New Roman" w:cs="Times New Roman"/>
                <w:i/>
                <w:iCs/>
                <w:sz w:val="18"/>
                <w:szCs w:val="18"/>
                <w:highlight w:val="none"/>
              </w:rPr>
              <w:t>1.23</w:t>
            </w:r>
          </w:p>
        </w:tc>
        <w:tc>
          <w:tcPr>
            <w:tcW w:w="1134" w:type="dxa"/>
            <w:vAlign w:val="center"/>
          </w:tcPr>
          <w:p>
            <w:pPr>
              <w:jc w:val="center"/>
              <w:rPr>
                <w:rFonts w:ascii="Times New Roman" w:hAnsi="Times New Roman" w:cs="Times New Roman"/>
                <w:highlight w:val="none"/>
              </w:rPr>
            </w:pPr>
            <w:r>
              <w:rPr>
                <w:rFonts w:ascii="Times New Roman" w:hAnsi="Times New Roman" w:cs="Times New Roman"/>
                <w:i/>
                <w:iCs/>
                <w:sz w:val="18"/>
                <w:szCs w:val="18"/>
                <w:highlight w:val="none"/>
              </w:rPr>
              <w:t>G</w:t>
            </w:r>
            <w:r>
              <w:rPr>
                <w:rFonts w:ascii="Times New Roman" w:hAnsi="Times New Roman" w:eastAsia="宋体" w:cs="Times New Roman"/>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0.5*1.23*G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0.5*1.23*G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+1.23*G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pStyle w:val="8"/>
              <w:jc w:val="center"/>
              <w:rPr>
                <w:color w:val="auto"/>
                <w:sz w:val="18"/>
                <w:szCs w:val="18"/>
                <w:highlight w:val="none"/>
              </w:rPr>
            </w:pPr>
            <w:r>
              <w:rPr>
                <w:color w:val="auto"/>
                <w:sz w:val="18"/>
                <w:szCs w:val="18"/>
                <w:highlight w:val="none"/>
              </w:rPr>
              <w:t>副高</w:t>
            </w:r>
          </w:p>
        </w:tc>
        <w:tc>
          <w:tcPr>
            <w:tcW w:w="709" w:type="dxa"/>
            <w:vAlign w:val="center"/>
          </w:tcPr>
          <w:p>
            <w:pPr>
              <w:pStyle w:val="8"/>
              <w:jc w:val="center"/>
              <w:rPr>
                <w:color w:val="auto"/>
                <w:sz w:val="18"/>
                <w:szCs w:val="18"/>
                <w:highlight w:val="none"/>
              </w:rPr>
            </w:pPr>
            <w:r>
              <w:rPr>
                <w:color w:val="auto"/>
                <w:sz w:val="18"/>
                <w:szCs w:val="18"/>
                <w:highlight w:val="none"/>
              </w:rPr>
              <w:t>6档</w:t>
            </w:r>
          </w:p>
        </w:tc>
        <w:tc>
          <w:tcPr>
            <w:tcW w:w="992" w:type="dxa"/>
          </w:tcPr>
          <w:p>
            <w:pPr>
              <w:pStyle w:val="8"/>
              <w:jc w:val="center"/>
              <w:rPr>
                <w:i/>
                <w:iCs/>
                <w:color w:val="auto"/>
                <w:sz w:val="18"/>
                <w:szCs w:val="18"/>
                <w:highlight w:val="none"/>
              </w:rPr>
            </w:pPr>
            <w:r>
              <w:rPr>
                <w:i/>
                <w:iCs/>
                <w:color w:val="auto"/>
                <w:sz w:val="18"/>
                <w:szCs w:val="18"/>
                <w:highlight w:val="none"/>
              </w:rPr>
              <w:t>1.10</w:t>
            </w:r>
          </w:p>
        </w:tc>
        <w:tc>
          <w:tcPr>
            <w:tcW w:w="1134"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0.5*1.10*G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0.5*1.10*G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+1.10*G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7档</w:t>
            </w:r>
          </w:p>
        </w:tc>
        <w:tc>
          <w:tcPr>
            <w:tcW w:w="992" w:type="dxa"/>
          </w:tcPr>
          <w:p>
            <w:pPr>
              <w:pStyle w:val="8"/>
              <w:jc w:val="center"/>
              <w:rPr>
                <w:i/>
                <w:iCs/>
                <w:color w:val="auto"/>
                <w:sz w:val="18"/>
                <w:szCs w:val="18"/>
                <w:highlight w:val="none"/>
              </w:rPr>
            </w:pPr>
            <w:r>
              <w:rPr>
                <w:i/>
                <w:iCs/>
                <w:color w:val="auto"/>
                <w:sz w:val="18"/>
                <w:szCs w:val="18"/>
                <w:highlight w:val="none"/>
              </w:rPr>
              <w:t>1.00</w:t>
            </w:r>
          </w:p>
        </w:tc>
        <w:tc>
          <w:tcPr>
            <w:tcW w:w="1134"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8档</w:t>
            </w:r>
          </w:p>
        </w:tc>
        <w:tc>
          <w:tcPr>
            <w:tcW w:w="992" w:type="dxa"/>
          </w:tcPr>
          <w:p>
            <w:pPr>
              <w:pStyle w:val="8"/>
              <w:jc w:val="center"/>
              <w:rPr>
                <w:i/>
                <w:iCs/>
                <w:color w:val="auto"/>
                <w:sz w:val="18"/>
                <w:szCs w:val="18"/>
                <w:highlight w:val="none"/>
              </w:rPr>
            </w:pPr>
            <w:r>
              <w:rPr>
                <w:i/>
                <w:iCs/>
                <w:color w:val="auto"/>
                <w:sz w:val="18"/>
                <w:szCs w:val="18"/>
                <w:highlight w:val="none"/>
              </w:rPr>
              <w:t>0.93</w:t>
            </w:r>
          </w:p>
        </w:tc>
        <w:tc>
          <w:tcPr>
            <w:tcW w:w="1134"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0.5*0.93*G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0.5*0.93*G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+0.93*G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pStyle w:val="8"/>
              <w:jc w:val="center"/>
              <w:rPr>
                <w:color w:val="auto"/>
                <w:sz w:val="18"/>
                <w:szCs w:val="18"/>
                <w:highlight w:val="none"/>
              </w:rPr>
            </w:pPr>
            <w:r>
              <w:rPr>
                <w:color w:val="auto"/>
                <w:sz w:val="18"/>
                <w:szCs w:val="18"/>
                <w:highlight w:val="none"/>
              </w:rPr>
              <w:t>中级</w:t>
            </w:r>
          </w:p>
        </w:tc>
        <w:tc>
          <w:tcPr>
            <w:tcW w:w="709" w:type="dxa"/>
            <w:vAlign w:val="center"/>
          </w:tcPr>
          <w:p>
            <w:pPr>
              <w:pStyle w:val="8"/>
              <w:jc w:val="center"/>
              <w:rPr>
                <w:color w:val="auto"/>
                <w:sz w:val="18"/>
                <w:szCs w:val="18"/>
                <w:highlight w:val="none"/>
              </w:rPr>
            </w:pPr>
            <w:r>
              <w:rPr>
                <w:color w:val="auto"/>
                <w:sz w:val="18"/>
                <w:szCs w:val="18"/>
                <w:highlight w:val="none"/>
              </w:rPr>
              <w:t>9档</w:t>
            </w:r>
          </w:p>
        </w:tc>
        <w:tc>
          <w:tcPr>
            <w:tcW w:w="992" w:type="dxa"/>
          </w:tcPr>
          <w:p>
            <w:pPr>
              <w:pStyle w:val="8"/>
              <w:jc w:val="center"/>
              <w:rPr>
                <w:i/>
                <w:iCs/>
                <w:color w:val="auto"/>
                <w:sz w:val="18"/>
                <w:szCs w:val="18"/>
                <w:highlight w:val="none"/>
              </w:rPr>
            </w:pPr>
            <w:r>
              <w:rPr>
                <w:i/>
                <w:iCs/>
                <w:color w:val="auto"/>
                <w:sz w:val="18"/>
                <w:szCs w:val="18"/>
                <w:highlight w:val="none"/>
              </w:rPr>
              <w:t>0.80</w:t>
            </w:r>
          </w:p>
        </w:tc>
        <w:tc>
          <w:tcPr>
            <w:tcW w:w="1134"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0.5*0.80*G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0.5*0.80*G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+0.80*G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10档</w:t>
            </w:r>
          </w:p>
        </w:tc>
        <w:tc>
          <w:tcPr>
            <w:tcW w:w="992" w:type="dxa"/>
          </w:tcPr>
          <w:p>
            <w:pPr>
              <w:pStyle w:val="8"/>
              <w:jc w:val="center"/>
              <w:rPr>
                <w:i/>
                <w:iCs/>
                <w:color w:val="auto"/>
                <w:sz w:val="18"/>
                <w:szCs w:val="18"/>
                <w:highlight w:val="none"/>
              </w:rPr>
            </w:pPr>
            <w:r>
              <w:rPr>
                <w:i/>
                <w:iCs/>
                <w:color w:val="auto"/>
                <w:sz w:val="18"/>
                <w:szCs w:val="18"/>
                <w:highlight w:val="none"/>
              </w:rPr>
              <w:t>0.70</w:t>
            </w:r>
          </w:p>
        </w:tc>
        <w:tc>
          <w:tcPr>
            <w:tcW w:w="1134"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0.5*0.70*G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0.5*0.70*G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+0.70*G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11档</w:t>
            </w:r>
          </w:p>
        </w:tc>
        <w:tc>
          <w:tcPr>
            <w:tcW w:w="992" w:type="dxa"/>
          </w:tcPr>
          <w:p>
            <w:pPr>
              <w:pStyle w:val="8"/>
              <w:jc w:val="center"/>
              <w:rPr>
                <w:i/>
                <w:iCs/>
                <w:color w:val="auto"/>
                <w:sz w:val="18"/>
                <w:szCs w:val="18"/>
                <w:highlight w:val="none"/>
              </w:rPr>
            </w:pPr>
            <w:r>
              <w:rPr>
                <w:i/>
                <w:iCs/>
                <w:color w:val="auto"/>
                <w:sz w:val="18"/>
                <w:szCs w:val="18"/>
                <w:highlight w:val="none"/>
              </w:rPr>
              <w:t>0.63</w:t>
            </w:r>
          </w:p>
        </w:tc>
        <w:tc>
          <w:tcPr>
            <w:tcW w:w="1134"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0.5*0.63*G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0.5*0.63*G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+0.63*G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pStyle w:val="8"/>
              <w:jc w:val="center"/>
              <w:rPr>
                <w:color w:val="auto"/>
                <w:sz w:val="18"/>
                <w:szCs w:val="18"/>
                <w:highlight w:val="none"/>
              </w:rPr>
            </w:pPr>
            <w:r>
              <w:rPr>
                <w:color w:val="auto"/>
                <w:sz w:val="18"/>
                <w:szCs w:val="18"/>
                <w:highlight w:val="none"/>
              </w:rPr>
              <w:t>初级</w:t>
            </w:r>
          </w:p>
        </w:tc>
        <w:tc>
          <w:tcPr>
            <w:tcW w:w="709" w:type="dxa"/>
            <w:vAlign w:val="center"/>
          </w:tcPr>
          <w:p>
            <w:pPr>
              <w:pStyle w:val="8"/>
              <w:jc w:val="center"/>
              <w:rPr>
                <w:color w:val="auto"/>
                <w:sz w:val="18"/>
                <w:szCs w:val="18"/>
                <w:highlight w:val="none"/>
              </w:rPr>
            </w:pPr>
            <w:r>
              <w:rPr>
                <w:color w:val="auto"/>
                <w:sz w:val="18"/>
                <w:szCs w:val="18"/>
                <w:highlight w:val="none"/>
              </w:rPr>
              <w:t>12档</w:t>
            </w:r>
          </w:p>
        </w:tc>
        <w:tc>
          <w:tcPr>
            <w:tcW w:w="992" w:type="dxa"/>
          </w:tcPr>
          <w:p>
            <w:pPr>
              <w:jc w:val="center"/>
              <w:rPr>
                <w:rFonts w:ascii="Times New Roman" w:hAnsi="Times New Roman" w:cs="Times New Roman"/>
                <w:i/>
                <w:iCs/>
                <w:sz w:val="18"/>
                <w:szCs w:val="18"/>
                <w:highlight w:val="none"/>
              </w:rPr>
            </w:pPr>
            <w:r>
              <w:rPr>
                <w:rFonts w:ascii="Times New Roman" w:hAnsi="Times New Roman" w:cs="Times New Roman"/>
                <w:i/>
                <w:iCs/>
                <w:sz w:val="18"/>
                <w:szCs w:val="18"/>
                <w:highlight w:val="none"/>
              </w:rPr>
              <w:t>0.53</w:t>
            </w:r>
          </w:p>
        </w:tc>
        <w:tc>
          <w:tcPr>
            <w:tcW w:w="1134" w:type="dxa"/>
            <w:vAlign w:val="center"/>
          </w:tcPr>
          <w:p>
            <w:pPr>
              <w:jc w:val="center"/>
              <w:rPr>
                <w:rFonts w:ascii="Times New Roman" w:hAnsi="Times New Roman" w:cs="Times New Roman"/>
                <w:highlight w:val="none"/>
              </w:rPr>
            </w:pPr>
            <w:r>
              <w:rPr>
                <w:rFonts w:ascii="Times New Roman" w:hAnsi="Times New Roman" w:cs="Times New Roman"/>
                <w:i/>
                <w:iCs/>
                <w:sz w:val="18"/>
                <w:szCs w:val="18"/>
                <w:highlight w:val="none"/>
              </w:rPr>
              <w:t>G</w:t>
            </w:r>
            <w:r>
              <w:rPr>
                <w:rFonts w:ascii="Times New Roman" w:hAnsi="Times New Roman" w:eastAsia="宋体" w:cs="Times New Roman"/>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0.5*0.53*G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0.5*0.53*G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+0.53*G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13档</w:t>
            </w:r>
          </w:p>
        </w:tc>
        <w:tc>
          <w:tcPr>
            <w:tcW w:w="992" w:type="dxa"/>
          </w:tcPr>
          <w:p>
            <w:pPr>
              <w:jc w:val="center"/>
              <w:rPr>
                <w:rFonts w:ascii="Times New Roman" w:hAnsi="Times New Roman" w:cs="Times New Roman"/>
                <w:i/>
                <w:iCs/>
                <w:sz w:val="18"/>
                <w:szCs w:val="18"/>
                <w:highlight w:val="none"/>
              </w:rPr>
            </w:pPr>
            <w:r>
              <w:rPr>
                <w:rFonts w:ascii="Times New Roman" w:hAnsi="Times New Roman" w:cs="Times New Roman"/>
                <w:i/>
                <w:iCs/>
                <w:sz w:val="18"/>
                <w:szCs w:val="18"/>
                <w:highlight w:val="none"/>
              </w:rPr>
              <w:t>0.43</w:t>
            </w:r>
          </w:p>
        </w:tc>
        <w:tc>
          <w:tcPr>
            <w:tcW w:w="1134" w:type="dxa"/>
            <w:vAlign w:val="center"/>
          </w:tcPr>
          <w:p>
            <w:pPr>
              <w:jc w:val="center"/>
              <w:rPr>
                <w:rFonts w:ascii="Times New Roman" w:hAnsi="Times New Roman" w:cs="Times New Roman"/>
                <w:highlight w:val="none"/>
              </w:rPr>
            </w:pPr>
            <w:r>
              <w:rPr>
                <w:rFonts w:ascii="Times New Roman" w:hAnsi="Times New Roman" w:cs="Times New Roman"/>
                <w:i/>
                <w:iCs/>
                <w:sz w:val="18"/>
                <w:szCs w:val="18"/>
                <w:highlight w:val="none"/>
              </w:rPr>
              <w:t>G</w:t>
            </w:r>
            <w:r>
              <w:rPr>
                <w:rFonts w:ascii="Times New Roman" w:hAnsi="Times New Roman" w:eastAsia="宋体" w:cs="Times New Roman"/>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0.5*0.43*G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0.5*0.43*G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+0.43*G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pStyle w:val="8"/>
              <w:jc w:val="center"/>
              <w:rPr>
                <w:color w:val="auto"/>
                <w:sz w:val="18"/>
                <w:szCs w:val="18"/>
                <w:highlight w:val="none"/>
              </w:rPr>
            </w:pPr>
          </w:p>
        </w:tc>
        <w:tc>
          <w:tcPr>
            <w:tcW w:w="709" w:type="dxa"/>
            <w:vAlign w:val="center"/>
          </w:tcPr>
          <w:p>
            <w:pPr>
              <w:pStyle w:val="8"/>
              <w:jc w:val="center"/>
              <w:rPr>
                <w:color w:val="auto"/>
                <w:sz w:val="18"/>
                <w:szCs w:val="18"/>
                <w:highlight w:val="none"/>
              </w:rPr>
            </w:pPr>
            <w:r>
              <w:rPr>
                <w:color w:val="auto"/>
                <w:sz w:val="18"/>
                <w:szCs w:val="18"/>
                <w:highlight w:val="none"/>
              </w:rPr>
              <w:t>14档</w:t>
            </w:r>
          </w:p>
        </w:tc>
        <w:tc>
          <w:tcPr>
            <w:tcW w:w="992" w:type="dxa"/>
          </w:tcPr>
          <w:p>
            <w:pPr>
              <w:jc w:val="center"/>
              <w:rPr>
                <w:rFonts w:ascii="Times New Roman" w:hAnsi="Times New Roman" w:cs="Times New Roman"/>
                <w:i/>
                <w:iCs/>
                <w:sz w:val="18"/>
                <w:szCs w:val="18"/>
                <w:highlight w:val="none"/>
              </w:rPr>
            </w:pPr>
            <w:r>
              <w:rPr>
                <w:rFonts w:ascii="Times New Roman" w:hAnsi="Times New Roman" w:cs="Times New Roman"/>
                <w:i/>
                <w:iCs/>
                <w:sz w:val="18"/>
                <w:szCs w:val="18"/>
                <w:highlight w:val="none"/>
              </w:rPr>
              <w:t>0.40</w:t>
            </w:r>
          </w:p>
        </w:tc>
        <w:tc>
          <w:tcPr>
            <w:tcW w:w="1134" w:type="dxa"/>
            <w:vAlign w:val="center"/>
          </w:tcPr>
          <w:p>
            <w:pPr>
              <w:jc w:val="center"/>
              <w:rPr>
                <w:rFonts w:ascii="Times New Roman" w:hAnsi="Times New Roman" w:cs="Times New Roman"/>
                <w:highlight w:val="none"/>
              </w:rPr>
            </w:pPr>
            <w:r>
              <w:rPr>
                <w:rFonts w:ascii="Times New Roman" w:hAnsi="Times New Roman" w:cs="Times New Roman"/>
                <w:i/>
                <w:iCs/>
                <w:sz w:val="18"/>
                <w:szCs w:val="18"/>
                <w:highlight w:val="none"/>
              </w:rPr>
              <w:t>G</w:t>
            </w:r>
            <w:r>
              <w:rPr>
                <w:rFonts w:ascii="Times New Roman" w:hAnsi="Times New Roman" w:eastAsia="宋体" w:cs="Times New Roman"/>
                <w:sz w:val="9"/>
                <w:szCs w:val="9"/>
                <w:highlight w:val="none"/>
              </w:rPr>
              <w:t>教标</w:t>
            </w:r>
          </w:p>
        </w:tc>
        <w:tc>
          <w:tcPr>
            <w:tcW w:w="1418" w:type="dxa"/>
            <w:vAlign w:val="center"/>
          </w:tcPr>
          <w:p>
            <w:pPr>
              <w:pStyle w:val="8"/>
              <w:jc w:val="center"/>
              <w:rPr>
                <w:color w:val="auto"/>
                <w:highlight w:val="none"/>
              </w:rPr>
            </w:pPr>
            <w:r>
              <w:rPr>
                <w:i/>
                <w:iCs/>
                <w:color w:val="auto"/>
                <w:sz w:val="18"/>
                <w:szCs w:val="18"/>
                <w:highlight w:val="none"/>
              </w:rPr>
              <w:t>0.5*0.40*G</w:t>
            </w:r>
            <w:r>
              <w:rPr>
                <w:rFonts w:eastAsia="宋体"/>
                <w:color w:val="auto"/>
                <w:sz w:val="9"/>
                <w:szCs w:val="9"/>
                <w:highlight w:val="none"/>
              </w:rPr>
              <w:t>研标</w:t>
            </w:r>
          </w:p>
        </w:tc>
        <w:tc>
          <w:tcPr>
            <w:tcW w:w="1276" w:type="dxa"/>
            <w:vAlign w:val="center"/>
          </w:tcPr>
          <w:p>
            <w:pPr>
              <w:pStyle w:val="8"/>
              <w:jc w:val="center"/>
              <w:rPr>
                <w:color w:val="auto"/>
                <w:highlight w:val="none"/>
              </w:rPr>
            </w:pPr>
            <w:r>
              <w:rPr>
                <w:i/>
                <w:iCs/>
                <w:color w:val="auto"/>
                <w:sz w:val="18"/>
                <w:szCs w:val="18"/>
                <w:highlight w:val="none"/>
              </w:rPr>
              <w:t>0.5*0.40*G</w:t>
            </w:r>
            <w:r>
              <w:rPr>
                <w:rFonts w:eastAsia="宋体"/>
                <w:color w:val="auto"/>
                <w:sz w:val="9"/>
                <w:szCs w:val="9"/>
                <w:highlight w:val="none"/>
              </w:rPr>
              <w:t>研标</w:t>
            </w:r>
          </w:p>
        </w:tc>
        <w:tc>
          <w:tcPr>
            <w:tcW w:w="1638" w:type="dxa"/>
            <w:vAlign w:val="center"/>
          </w:tcPr>
          <w:p>
            <w:pPr>
              <w:pStyle w:val="8"/>
              <w:jc w:val="center"/>
              <w:rPr>
                <w:color w:val="auto"/>
                <w:highlight w:val="none"/>
              </w:rPr>
            </w:pPr>
            <w:r>
              <w:rPr>
                <w:i/>
                <w:iCs/>
                <w:color w:val="auto"/>
                <w:sz w:val="18"/>
                <w:szCs w:val="18"/>
                <w:highlight w:val="none"/>
              </w:rPr>
              <w:t>G</w:t>
            </w:r>
            <w:r>
              <w:rPr>
                <w:rFonts w:eastAsia="宋体"/>
                <w:color w:val="auto"/>
                <w:sz w:val="9"/>
                <w:szCs w:val="9"/>
                <w:highlight w:val="none"/>
              </w:rPr>
              <w:t>教标</w:t>
            </w:r>
            <w:r>
              <w:rPr>
                <w:i/>
                <w:iCs/>
                <w:color w:val="auto"/>
                <w:sz w:val="18"/>
                <w:szCs w:val="18"/>
                <w:highlight w:val="none"/>
              </w:rPr>
              <w:t>+0.40*G</w:t>
            </w:r>
            <w:r>
              <w:rPr>
                <w:rFonts w:eastAsia="宋体"/>
                <w:color w:val="auto"/>
                <w:sz w:val="9"/>
                <w:szCs w:val="9"/>
                <w:highlight w:val="none"/>
              </w:rPr>
              <w:t>研标</w:t>
            </w:r>
            <w:r>
              <w:rPr>
                <w:i/>
                <w:iCs/>
                <w:color w:val="auto"/>
                <w:sz w:val="18"/>
                <w:szCs w:val="18"/>
                <w:highlight w:val="none"/>
              </w:rPr>
              <w:t>/</w:t>
            </w:r>
            <w:r>
              <w:rPr>
                <w:iCs/>
                <w:color w:val="auto"/>
                <w:sz w:val="18"/>
                <w:szCs w:val="18"/>
                <w:highlight w:val="none"/>
              </w:rPr>
              <w:t xml:space="preserve"> a</w:t>
            </w:r>
          </w:p>
        </w:tc>
      </w:tr>
    </w:tbl>
    <w:p>
      <w:pPr>
        <w:pStyle w:val="8"/>
        <w:rPr>
          <w:color w:val="auto"/>
          <w:highlight w:val="none"/>
        </w:rPr>
      </w:pPr>
    </w:p>
    <w:p>
      <w:pPr>
        <w:autoSpaceDE w:val="0"/>
        <w:autoSpaceDN w:val="0"/>
        <w:adjustRightInd w:val="0"/>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备注：</w:t>
      </w:r>
    </w:p>
    <w:p>
      <w:pPr>
        <w:autoSpaceDE w:val="0"/>
        <w:autoSpaceDN w:val="0"/>
        <w:adjustRightInd w:val="0"/>
        <w:jc w:val="left"/>
        <w:rPr>
          <w:rFonts w:ascii="Times New Roman" w:hAnsi="Times New Roman" w:eastAsia="宋体" w:cs="Times New Roman"/>
          <w:kern w:val="0"/>
          <w:szCs w:val="21"/>
          <w:highlight w:val="none"/>
        </w:rPr>
      </w:pPr>
      <w:r>
        <w:rPr>
          <w:rFonts w:ascii="Times New Roman" w:hAnsi="Times New Roman" w:cs="Times New Roman"/>
          <w:szCs w:val="21"/>
          <w:highlight w:val="none"/>
        </w:rPr>
        <w:t>1）岗位</w:t>
      </w:r>
      <w:r>
        <w:rPr>
          <w:rFonts w:hint="eastAsia" w:ascii="Times New Roman" w:hAnsi="Times New Roman" w:cs="Times New Roman"/>
          <w:szCs w:val="21"/>
          <w:highlight w:val="none"/>
        </w:rPr>
        <w:t>绩效</w:t>
      </w:r>
      <w:r>
        <w:rPr>
          <w:rFonts w:ascii="Times New Roman" w:hAnsi="Times New Roman" w:cs="Times New Roman"/>
          <w:szCs w:val="21"/>
          <w:highlight w:val="none"/>
        </w:rPr>
        <w:t>级档系数是在学校</w:t>
      </w:r>
      <w:r>
        <w:rPr>
          <w:rFonts w:hint="eastAsia" w:ascii="Times New Roman" w:hAnsi="Times New Roman" w:cs="Times New Roman"/>
          <w:szCs w:val="21"/>
          <w:highlight w:val="none"/>
          <w:lang w:val="en-US" w:eastAsia="zh-CN"/>
        </w:rPr>
        <w:t>当年</w:t>
      </w:r>
      <w:r>
        <w:rPr>
          <w:rFonts w:ascii="Times New Roman" w:hAnsi="Times New Roman" w:cs="Times New Roman"/>
          <w:szCs w:val="21"/>
          <w:highlight w:val="none"/>
        </w:rPr>
        <w:t>聘</w:t>
      </w:r>
      <w:r>
        <w:rPr>
          <w:rFonts w:hint="eastAsia" w:ascii="Times New Roman" w:hAnsi="Times New Roman" w:cs="Times New Roman"/>
          <w:szCs w:val="21"/>
          <w:highlight w:val="none"/>
          <w:lang w:val="en-US" w:eastAsia="zh-CN"/>
        </w:rPr>
        <w:t>任</w:t>
      </w:r>
      <w:r>
        <w:rPr>
          <w:rFonts w:ascii="Times New Roman" w:hAnsi="Times New Roman" w:cs="Times New Roman"/>
          <w:szCs w:val="21"/>
          <w:highlight w:val="none"/>
        </w:rPr>
        <w:t>岗位绩效级档系数的基础上，以副高7档（级档系数3.0）为基准换算得到。</w:t>
      </w:r>
    </w:p>
    <w:p>
      <w:pPr>
        <w:autoSpaceDE w:val="0"/>
        <w:autoSpaceDN w:val="0"/>
        <w:adjustRightInd w:val="0"/>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2）教学科研业绩分不足的，可以用教学工作量超标部分冲抵，1个教学工作量冲抵</w:t>
      </w:r>
      <w:r>
        <w:rPr>
          <w:iCs/>
          <w:sz w:val="18"/>
          <w:szCs w:val="18"/>
          <w:highlight w:val="none"/>
        </w:rPr>
        <w:t>a</w:t>
      </w:r>
      <w:r>
        <w:rPr>
          <w:rFonts w:ascii="Times New Roman" w:hAnsi="Times New Roman" w:eastAsia="宋体" w:cs="Times New Roman"/>
          <w:kern w:val="0"/>
          <w:szCs w:val="21"/>
          <w:highlight w:val="none"/>
        </w:rPr>
        <w:t>个教学科研业绩分，</w:t>
      </w:r>
      <w:r>
        <w:rPr>
          <w:iCs/>
          <w:sz w:val="18"/>
          <w:szCs w:val="18"/>
          <w:highlight w:val="none"/>
        </w:rPr>
        <w:t>a</w:t>
      </w:r>
      <w:r>
        <w:rPr>
          <w:rFonts w:ascii="Times New Roman" w:hAnsi="Times New Roman" w:eastAsia="宋体" w:cs="Times New Roman"/>
          <w:kern w:val="0"/>
          <w:szCs w:val="21"/>
          <w:highlight w:val="none"/>
        </w:rPr>
        <w:t>为比例系数。</w:t>
      </w:r>
    </w:p>
    <w:p>
      <w:pPr>
        <w:autoSpaceDE w:val="0"/>
        <w:autoSpaceDN w:val="0"/>
        <w:adjustRightInd w:val="0"/>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3）教学工作量不足的，可以用教学科研业绩分超标部分冲抵，1个教学科研业绩分冲抵1/</w:t>
      </w:r>
      <w:r>
        <w:rPr>
          <w:iCs/>
          <w:sz w:val="18"/>
          <w:szCs w:val="18"/>
          <w:highlight w:val="none"/>
        </w:rPr>
        <w:t>a</w:t>
      </w:r>
      <w:r>
        <w:rPr>
          <w:rFonts w:ascii="Times New Roman" w:hAnsi="Times New Roman" w:eastAsia="宋体" w:cs="Times New Roman"/>
          <w:kern w:val="0"/>
          <w:szCs w:val="21"/>
          <w:highlight w:val="none"/>
        </w:rPr>
        <w:t>个教学工作量。</w:t>
      </w:r>
    </w:p>
    <w:p>
      <w:pPr>
        <w:autoSpaceDE w:val="0"/>
        <w:autoSpaceDN w:val="0"/>
        <w:adjustRightInd w:val="0"/>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4）新引进人员前三年的教学工作量不作刚性达标要求，但其教学科研业绩分达标要求相应提高，需要用教学科研业绩分冲抵教学工作量，1个教学科研业绩分冲抵1/</w:t>
      </w:r>
      <w:r>
        <w:rPr>
          <w:iCs/>
          <w:sz w:val="18"/>
          <w:szCs w:val="18"/>
          <w:highlight w:val="none"/>
        </w:rPr>
        <w:t>a</w:t>
      </w:r>
      <w:r>
        <w:rPr>
          <w:rFonts w:ascii="Times New Roman" w:hAnsi="Times New Roman" w:eastAsia="宋体" w:cs="Times New Roman"/>
          <w:kern w:val="0"/>
          <w:szCs w:val="21"/>
          <w:highlight w:val="none"/>
        </w:rPr>
        <w:t>个教学工作量。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E1EF9"/>
    <w:multiLevelType w:val="singleLevel"/>
    <w:tmpl w:val="DDDE1EF9"/>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jMjBjZDE4YWM2Mjg4Y2JjZGJiODc4ZTQyZmM5MWQifQ=="/>
  </w:docVars>
  <w:rsids>
    <w:rsidRoot w:val="00AC2B6D"/>
    <w:rsid w:val="00012E6F"/>
    <w:rsid w:val="00017AC5"/>
    <w:rsid w:val="00026C24"/>
    <w:rsid w:val="00042EE6"/>
    <w:rsid w:val="00053B37"/>
    <w:rsid w:val="0006152C"/>
    <w:rsid w:val="000745EA"/>
    <w:rsid w:val="000A5EBE"/>
    <w:rsid w:val="000D0D85"/>
    <w:rsid w:val="000D1366"/>
    <w:rsid w:val="000D6927"/>
    <w:rsid w:val="000E47EB"/>
    <w:rsid w:val="000E6784"/>
    <w:rsid w:val="00117AAD"/>
    <w:rsid w:val="00117D11"/>
    <w:rsid w:val="001217DF"/>
    <w:rsid w:val="00137E6B"/>
    <w:rsid w:val="00142023"/>
    <w:rsid w:val="00145240"/>
    <w:rsid w:val="001457ED"/>
    <w:rsid w:val="00152A7D"/>
    <w:rsid w:val="00153507"/>
    <w:rsid w:val="00162374"/>
    <w:rsid w:val="0017042C"/>
    <w:rsid w:val="00183478"/>
    <w:rsid w:val="00192790"/>
    <w:rsid w:val="0019364E"/>
    <w:rsid w:val="00195258"/>
    <w:rsid w:val="001A29F4"/>
    <w:rsid w:val="001A48D3"/>
    <w:rsid w:val="001A5F40"/>
    <w:rsid w:val="001A702E"/>
    <w:rsid w:val="001B2CA9"/>
    <w:rsid w:val="001C0BA5"/>
    <w:rsid w:val="001C154C"/>
    <w:rsid w:val="001C2E7F"/>
    <w:rsid w:val="001C3156"/>
    <w:rsid w:val="001C538C"/>
    <w:rsid w:val="001D2A1B"/>
    <w:rsid w:val="001E192A"/>
    <w:rsid w:val="001E4081"/>
    <w:rsid w:val="001E7C9C"/>
    <w:rsid w:val="001F30E4"/>
    <w:rsid w:val="00205718"/>
    <w:rsid w:val="00206D1C"/>
    <w:rsid w:val="00224F28"/>
    <w:rsid w:val="00226DAD"/>
    <w:rsid w:val="002308D4"/>
    <w:rsid w:val="00233348"/>
    <w:rsid w:val="0028026C"/>
    <w:rsid w:val="00280DBF"/>
    <w:rsid w:val="00286B20"/>
    <w:rsid w:val="00290A7C"/>
    <w:rsid w:val="002B4067"/>
    <w:rsid w:val="002B65A1"/>
    <w:rsid w:val="002B763B"/>
    <w:rsid w:val="002B7ECE"/>
    <w:rsid w:val="002D0703"/>
    <w:rsid w:val="002D1C1A"/>
    <w:rsid w:val="002D3EE8"/>
    <w:rsid w:val="002F0891"/>
    <w:rsid w:val="00303A54"/>
    <w:rsid w:val="0030645B"/>
    <w:rsid w:val="0031279F"/>
    <w:rsid w:val="00317A60"/>
    <w:rsid w:val="0032236B"/>
    <w:rsid w:val="00335045"/>
    <w:rsid w:val="003416AA"/>
    <w:rsid w:val="00350AA4"/>
    <w:rsid w:val="0035737D"/>
    <w:rsid w:val="003641EE"/>
    <w:rsid w:val="00367356"/>
    <w:rsid w:val="0037029E"/>
    <w:rsid w:val="00374D0D"/>
    <w:rsid w:val="00390BFF"/>
    <w:rsid w:val="00395CAD"/>
    <w:rsid w:val="00396C4D"/>
    <w:rsid w:val="003A44FD"/>
    <w:rsid w:val="003A46B7"/>
    <w:rsid w:val="003B5DED"/>
    <w:rsid w:val="003B6B96"/>
    <w:rsid w:val="003C153F"/>
    <w:rsid w:val="003C2323"/>
    <w:rsid w:val="003C5059"/>
    <w:rsid w:val="003E2583"/>
    <w:rsid w:val="003F7BFA"/>
    <w:rsid w:val="00403EB8"/>
    <w:rsid w:val="004115A9"/>
    <w:rsid w:val="004157A4"/>
    <w:rsid w:val="00420656"/>
    <w:rsid w:val="00425A02"/>
    <w:rsid w:val="004302E0"/>
    <w:rsid w:val="0043413A"/>
    <w:rsid w:val="00442815"/>
    <w:rsid w:val="00446393"/>
    <w:rsid w:val="00453386"/>
    <w:rsid w:val="00455B3F"/>
    <w:rsid w:val="004612AE"/>
    <w:rsid w:val="00461B1F"/>
    <w:rsid w:val="0046402B"/>
    <w:rsid w:val="00467845"/>
    <w:rsid w:val="00467BE5"/>
    <w:rsid w:val="004818AC"/>
    <w:rsid w:val="0048324F"/>
    <w:rsid w:val="00491C07"/>
    <w:rsid w:val="00496272"/>
    <w:rsid w:val="004A6BC5"/>
    <w:rsid w:val="004C058A"/>
    <w:rsid w:val="004C3F74"/>
    <w:rsid w:val="004C7F21"/>
    <w:rsid w:val="004D2FB3"/>
    <w:rsid w:val="004D763F"/>
    <w:rsid w:val="004E6AEE"/>
    <w:rsid w:val="005075DF"/>
    <w:rsid w:val="00512985"/>
    <w:rsid w:val="00521564"/>
    <w:rsid w:val="0052477F"/>
    <w:rsid w:val="00533446"/>
    <w:rsid w:val="00537AAD"/>
    <w:rsid w:val="00543CC3"/>
    <w:rsid w:val="005615D8"/>
    <w:rsid w:val="00587A1A"/>
    <w:rsid w:val="00596EFF"/>
    <w:rsid w:val="005A7E7E"/>
    <w:rsid w:val="005B3FD1"/>
    <w:rsid w:val="005E210D"/>
    <w:rsid w:val="005F363E"/>
    <w:rsid w:val="006167AF"/>
    <w:rsid w:val="00620665"/>
    <w:rsid w:val="006249F0"/>
    <w:rsid w:val="00640FC4"/>
    <w:rsid w:val="0065137D"/>
    <w:rsid w:val="00654D0D"/>
    <w:rsid w:val="00667EEB"/>
    <w:rsid w:val="006719CA"/>
    <w:rsid w:val="0067425F"/>
    <w:rsid w:val="00676991"/>
    <w:rsid w:val="00682923"/>
    <w:rsid w:val="006927B6"/>
    <w:rsid w:val="006969F1"/>
    <w:rsid w:val="006A07CC"/>
    <w:rsid w:val="006A31DF"/>
    <w:rsid w:val="006A5D93"/>
    <w:rsid w:val="006C2065"/>
    <w:rsid w:val="006C3BD1"/>
    <w:rsid w:val="006D1877"/>
    <w:rsid w:val="006E4787"/>
    <w:rsid w:val="006E6BA2"/>
    <w:rsid w:val="006E7237"/>
    <w:rsid w:val="006F2F38"/>
    <w:rsid w:val="006F5E07"/>
    <w:rsid w:val="00701D99"/>
    <w:rsid w:val="00711093"/>
    <w:rsid w:val="0071560E"/>
    <w:rsid w:val="00722603"/>
    <w:rsid w:val="0073119E"/>
    <w:rsid w:val="007372D6"/>
    <w:rsid w:val="00740CAA"/>
    <w:rsid w:val="007762EF"/>
    <w:rsid w:val="00782CDB"/>
    <w:rsid w:val="007906FE"/>
    <w:rsid w:val="007A606A"/>
    <w:rsid w:val="007A7EDF"/>
    <w:rsid w:val="007B4C06"/>
    <w:rsid w:val="007B5663"/>
    <w:rsid w:val="007F5627"/>
    <w:rsid w:val="007F6052"/>
    <w:rsid w:val="00803AEA"/>
    <w:rsid w:val="0081390A"/>
    <w:rsid w:val="008140BE"/>
    <w:rsid w:val="00832F6E"/>
    <w:rsid w:val="00835F54"/>
    <w:rsid w:val="00881659"/>
    <w:rsid w:val="008A16AB"/>
    <w:rsid w:val="008C14FD"/>
    <w:rsid w:val="008C58DD"/>
    <w:rsid w:val="008C7959"/>
    <w:rsid w:val="008E2DCB"/>
    <w:rsid w:val="008F54FB"/>
    <w:rsid w:val="00905A6A"/>
    <w:rsid w:val="0091043A"/>
    <w:rsid w:val="00923840"/>
    <w:rsid w:val="00924415"/>
    <w:rsid w:val="009273C1"/>
    <w:rsid w:val="009322C4"/>
    <w:rsid w:val="009376A7"/>
    <w:rsid w:val="00947620"/>
    <w:rsid w:val="00954F12"/>
    <w:rsid w:val="00962E42"/>
    <w:rsid w:val="00970B9C"/>
    <w:rsid w:val="009723B3"/>
    <w:rsid w:val="0097377C"/>
    <w:rsid w:val="009832EB"/>
    <w:rsid w:val="00985005"/>
    <w:rsid w:val="00992930"/>
    <w:rsid w:val="00993AE8"/>
    <w:rsid w:val="00993B11"/>
    <w:rsid w:val="00993C3E"/>
    <w:rsid w:val="009A3078"/>
    <w:rsid w:val="009A52D1"/>
    <w:rsid w:val="009B3C5A"/>
    <w:rsid w:val="009C0DEB"/>
    <w:rsid w:val="009D22D7"/>
    <w:rsid w:val="009E2BE7"/>
    <w:rsid w:val="00A0742C"/>
    <w:rsid w:val="00A35A12"/>
    <w:rsid w:val="00A368DA"/>
    <w:rsid w:val="00A379B3"/>
    <w:rsid w:val="00A4519D"/>
    <w:rsid w:val="00A72DFC"/>
    <w:rsid w:val="00A761C2"/>
    <w:rsid w:val="00AA6D15"/>
    <w:rsid w:val="00AB2EB4"/>
    <w:rsid w:val="00AC2B6D"/>
    <w:rsid w:val="00AC7E09"/>
    <w:rsid w:val="00AD32D3"/>
    <w:rsid w:val="00AE04CE"/>
    <w:rsid w:val="00AF294B"/>
    <w:rsid w:val="00AF4095"/>
    <w:rsid w:val="00B01B51"/>
    <w:rsid w:val="00B02F26"/>
    <w:rsid w:val="00B11CF9"/>
    <w:rsid w:val="00B123F3"/>
    <w:rsid w:val="00B16E13"/>
    <w:rsid w:val="00B248A3"/>
    <w:rsid w:val="00B41623"/>
    <w:rsid w:val="00B66E27"/>
    <w:rsid w:val="00B6761D"/>
    <w:rsid w:val="00B67FB2"/>
    <w:rsid w:val="00B71A65"/>
    <w:rsid w:val="00B9132D"/>
    <w:rsid w:val="00BA477F"/>
    <w:rsid w:val="00BC6588"/>
    <w:rsid w:val="00BD51BB"/>
    <w:rsid w:val="00BF4501"/>
    <w:rsid w:val="00BF4714"/>
    <w:rsid w:val="00BF6217"/>
    <w:rsid w:val="00C000F8"/>
    <w:rsid w:val="00C0010E"/>
    <w:rsid w:val="00C01B92"/>
    <w:rsid w:val="00C03154"/>
    <w:rsid w:val="00C04306"/>
    <w:rsid w:val="00C123E8"/>
    <w:rsid w:val="00C13E6D"/>
    <w:rsid w:val="00C23608"/>
    <w:rsid w:val="00C32A8A"/>
    <w:rsid w:val="00C41D14"/>
    <w:rsid w:val="00C513F2"/>
    <w:rsid w:val="00C55044"/>
    <w:rsid w:val="00C60E4E"/>
    <w:rsid w:val="00C7106F"/>
    <w:rsid w:val="00C925BB"/>
    <w:rsid w:val="00CA0276"/>
    <w:rsid w:val="00CB19E4"/>
    <w:rsid w:val="00CB675A"/>
    <w:rsid w:val="00CE587F"/>
    <w:rsid w:val="00CE740C"/>
    <w:rsid w:val="00D01E2F"/>
    <w:rsid w:val="00D11F00"/>
    <w:rsid w:val="00D17024"/>
    <w:rsid w:val="00D21941"/>
    <w:rsid w:val="00D272BC"/>
    <w:rsid w:val="00D35CE1"/>
    <w:rsid w:val="00D428D2"/>
    <w:rsid w:val="00D45D56"/>
    <w:rsid w:val="00D47496"/>
    <w:rsid w:val="00D47E9B"/>
    <w:rsid w:val="00D50466"/>
    <w:rsid w:val="00D601D2"/>
    <w:rsid w:val="00D7348D"/>
    <w:rsid w:val="00D7452B"/>
    <w:rsid w:val="00D83622"/>
    <w:rsid w:val="00D84348"/>
    <w:rsid w:val="00D85C02"/>
    <w:rsid w:val="00D90A72"/>
    <w:rsid w:val="00D916A2"/>
    <w:rsid w:val="00D935F9"/>
    <w:rsid w:val="00D9554B"/>
    <w:rsid w:val="00D9650D"/>
    <w:rsid w:val="00D97641"/>
    <w:rsid w:val="00DA67CD"/>
    <w:rsid w:val="00DA7FF7"/>
    <w:rsid w:val="00DB4C3E"/>
    <w:rsid w:val="00DB76CA"/>
    <w:rsid w:val="00DC624B"/>
    <w:rsid w:val="00DE5DA8"/>
    <w:rsid w:val="00DF286E"/>
    <w:rsid w:val="00DF297B"/>
    <w:rsid w:val="00E14DEE"/>
    <w:rsid w:val="00E21630"/>
    <w:rsid w:val="00E31C38"/>
    <w:rsid w:val="00E33B7C"/>
    <w:rsid w:val="00E51ADA"/>
    <w:rsid w:val="00E65EC5"/>
    <w:rsid w:val="00E664CC"/>
    <w:rsid w:val="00E66B45"/>
    <w:rsid w:val="00E85804"/>
    <w:rsid w:val="00E90B87"/>
    <w:rsid w:val="00E927E5"/>
    <w:rsid w:val="00EA05C8"/>
    <w:rsid w:val="00EB2992"/>
    <w:rsid w:val="00EC6E5B"/>
    <w:rsid w:val="00ED2F47"/>
    <w:rsid w:val="00ED3DE2"/>
    <w:rsid w:val="00ED4BD3"/>
    <w:rsid w:val="00ED5BB1"/>
    <w:rsid w:val="00EF2A84"/>
    <w:rsid w:val="00EF6194"/>
    <w:rsid w:val="00EF6AD2"/>
    <w:rsid w:val="00F00F91"/>
    <w:rsid w:val="00F01D84"/>
    <w:rsid w:val="00F22279"/>
    <w:rsid w:val="00F23BD7"/>
    <w:rsid w:val="00F3452E"/>
    <w:rsid w:val="00F4283E"/>
    <w:rsid w:val="00F554F2"/>
    <w:rsid w:val="00F66871"/>
    <w:rsid w:val="00F74553"/>
    <w:rsid w:val="00F760EE"/>
    <w:rsid w:val="00F8140A"/>
    <w:rsid w:val="00F8212B"/>
    <w:rsid w:val="00F877B1"/>
    <w:rsid w:val="00F96A85"/>
    <w:rsid w:val="00FB06AD"/>
    <w:rsid w:val="00FC219F"/>
    <w:rsid w:val="00FC277D"/>
    <w:rsid w:val="00FC4232"/>
    <w:rsid w:val="00FC4F07"/>
    <w:rsid w:val="00FC62A6"/>
    <w:rsid w:val="00FD1FA5"/>
    <w:rsid w:val="00FD4514"/>
    <w:rsid w:val="00FD750C"/>
    <w:rsid w:val="025439FA"/>
    <w:rsid w:val="02693421"/>
    <w:rsid w:val="0A6B6488"/>
    <w:rsid w:val="0AE16305"/>
    <w:rsid w:val="0E7A6830"/>
    <w:rsid w:val="0E7F73B1"/>
    <w:rsid w:val="14D274AE"/>
    <w:rsid w:val="15CB4D7D"/>
    <w:rsid w:val="18764520"/>
    <w:rsid w:val="18FF1E6D"/>
    <w:rsid w:val="24D73BB0"/>
    <w:rsid w:val="24FC3175"/>
    <w:rsid w:val="252575F6"/>
    <w:rsid w:val="29436843"/>
    <w:rsid w:val="309B5D53"/>
    <w:rsid w:val="322B49B8"/>
    <w:rsid w:val="3E0A2805"/>
    <w:rsid w:val="409E221E"/>
    <w:rsid w:val="40A103B7"/>
    <w:rsid w:val="42E06EF0"/>
    <w:rsid w:val="4B1F2CFD"/>
    <w:rsid w:val="4F56276B"/>
    <w:rsid w:val="542846D3"/>
    <w:rsid w:val="573F38E6"/>
    <w:rsid w:val="5C295606"/>
    <w:rsid w:val="5D786D18"/>
    <w:rsid w:val="5ECC64AC"/>
    <w:rsid w:val="69F522A1"/>
    <w:rsid w:val="6CD12293"/>
    <w:rsid w:val="6EE44D7A"/>
    <w:rsid w:val="7B622F18"/>
    <w:rsid w:val="7FF4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9">
    <w:name w:val="List Paragraph"/>
    <w:basedOn w:val="1"/>
    <w:qFormat/>
    <w:uiPriority w:val="34"/>
    <w:pPr>
      <w:ind w:firstLine="420" w:firstLineChars="200"/>
    </w:pPr>
  </w:style>
  <w:style w:type="character" w:styleId="10">
    <w:name w:val="Placeholder Text"/>
    <w:basedOn w:val="7"/>
    <w:semiHidden/>
    <w:qFormat/>
    <w:uiPriority w:val="99"/>
    <w:rPr>
      <w:color w:val="808080"/>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4496</Words>
  <Characters>4983</Characters>
  <Lines>39</Lines>
  <Paragraphs>11</Paragraphs>
  <TotalTime>352</TotalTime>
  <ScaleCrop>false</ScaleCrop>
  <LinksUpToDate>false</LinksUpToDate>
  <CharactersWithSpaces>5009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2020-12-30T01:11:00Z</dcterms:created>
  <dc:creator>系统管理员</dc:creator>
  <cp:lastModifiedBy>ZFB</cp:lastModifiedBy>
  <cp:lastPrinted>2020-06-27T01:36:00Z</cp:lastPrinted>
  <dcterms:modified xsi:type="dcterms:W3CDTF">2024-01-24T05:14:05Z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A8D9A0B6C102445B8F3EA96857B8C052_13</vt:lpwstr>
  </property>
</Properties>
</file>